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GeistwStiftG — Aufsicht, Rechnungsprüfung</w:t>
      </w:r>
    </w:p>
    <w:p>
      <w:r>
        <w:rPr>
          <w:color w:val="555555"/>
          <w:sz w:val="18"/>
        </w:rPr>
        <w:t xml:space="preserve">Gesetz zur Errichtung einer Stiftung Deutsche Geisteswissenschaftliche Institute im Ausland, Bonn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untersteht der Rechtsaufsicht des Bundesministeriums für Bildung und Forschung.</w:t>
      </w:r>
    </w:p>
    <w:p>
      <w:r>
        <w:t xml:space="preserve">(2) Für das Haushalts-, Kassen- und Rechnungswesen der Stiftung finden die insoweit für die unmittelbare Bundesverwaltung gelten Vorschriften entsprechende Anwendung. Die Haushalts- und Wirtschaftsführung der Stiftung unterliegen der Prüfung durch den Bundesrechnungshof.</w:t>
      </w:r>
    </w:p>
    <w:p>
      <w:r>
        <w:rPr>
          <w:color w:val="555555"/>
          <w:sz w:val="17"/>
        </w:rPr>
        <w:t xml:space="preserve">Zitiervorschlag: § 14 GeistwStiftG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https://recht.nulegal.eu/gesetze/GeistwStiftG/14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