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GeistwStiftG — Geschäftsstelle</w:t>
      </w:r>
    </w:p>
    <w:p>
      <w:r>
        <w:rPr>
          <w:color w:val="555555"/>
          <w:sz w:val="18"/>
        </w:rPr>
        <w:t xml:space="preserve">Gesetz zur Errichtung einer Stiftung Deutsche Geisteswissenschaftliche Institute im Ausland, Bonn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gemeinsame Geschäftsstelle unterstützt die Arbeit der Stiftungsorgane, der Beschäftigten der Institute und der Wissenschaftlichen Beiräte. Sie wird von der Geschäftsführerin oder dem Geschäftsführer geleitet.</w:t>
      </w:r>
    </w:p>
    <w:p>
      <w:r>
        <w:rPr>
          <w:color w:val="555555"/>
          <w:sz w:val="17"/>
        </w:rPr>
        <w:t xml:space="preserve">Zitiervorschlag: § 13 GeistwStiftG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https://recht.nulegal.eu/gesetze/GeistwStiftG/13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