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GeistwStiftG — Name, Rechtsform und Sitz der Stiftung</w:t>
      </w:r>
    </w:p>
    <w:p>
      <w:r>
        <w:rPr>
          <w:color w:val="555555"/>
          <w:sz w:val="18"/>
        </w:rPr>
        <w:t xml:space="preserve">Gesetz zur Errichtung einer Stiftung Deutsche Geisteswissenschaftliche Institute im Ausland, Bonn</w:t>
      </w:r>
    </w:p>
    <w:p>
      <w:r>
        <w:rPr>
          <w:color w:val="555555"/>
          <w:sz w:val="18"/>
        </w:rPr>
        <w:t xml:space="preserve">Stand: 10.06.2019 (konsolidierte Textfassung, kein amtliches Inkrafttretensdatum)</w:t>
      </w:r>
    </w:p>
    <w:p>
      <w:r>
        <w:t xml:space="preserve">Unter dem Namen "Stiftung Deutsche Geisteswissenschaftliche Institute im Ausland" wird eine rechtsfähige bundesunmittelbare Stiftung des öffentlichen Rechts mit Sitz in Bonn errichtet. Die Stiftung kann sich durch Satzung einen Namenszusatz geben.</w:t>
      </w:r>
    </w:p>
    <w:p>
      <w:r>
        <w:rPr>
          <w:color w:val="555555"/>
          <w:sz w:val="17"/>
        </w:rPr>
        <w:t xml:space="preserve">Zitiervorschlag: § 1 GeistwStiftG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https://recht.nulegal.eu/gesetze/GeistwStiftG/1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