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GeigbMstrV</w:t>
      </w:r>
    </w:p>
    <w:p>
      <w:r>
        <w:rPr>
          <w:color w:val="555555"/>
          <w:sz w:val="18"/>
        </w:rPr>
        <w:t xml:space="preserve">Geigenbauermeisterverordnung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der Handwerksordnung in der Fassung der Bekanntmachung vom 28. Dezember 1965 (BGBl. 1966 I S. 1), der zuletzt gemäß Artikel 33 der Verordnung vom 21. September 1997 (BGBl. I S. 2390) geändert worden ist, verordnet das Bundesministerium für Wirtschaft im Einvernehmen mit dem Bundesministerium für Bildung, Wissenschaft, Forschung und Technologie:</w:t>
      </w:r>
    </w:p>
    <w:p>
      <w:r>
        <w:rPr>
          <w:color w:val="555555"/>
          <w:sz w:val="17"/>
        </w:rPr>
        <w:t xml:space="preserve">Zitiervorschlag: Eingangsformel GeigbMstrV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https://recht.nulegal.eu/gesetze/GeigbMstrV/eingangsformel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