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GeigbMstrV — Inkrafttreten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April 1998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