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67 GeflPestSchV — Aufheben bundesrechtlicher Vorschriften</w:t>
      </w:r>
    </w:p>
    <w:p>
      <w:r>
        <w:rPr>
          <w:color w:val="555555"/>
          <w:sz w:val="18"/>
        </w:rPr>
        <w:t xml:space="preserve">Geflügelpest-Verordnung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(Aufhebung anderer Vorschriften)</w:t>
      </w:r>
    </w:p>
    <w:p>
      <w:r>
        <w:t xml:space="preserve">(2) Bis zum Erlass einer anderweitigen bundesrechtlichen Regelung sind die Vorschriften der Geflügelpest-Verordnung in der Fassung der Bekanntmachung vom 20. Dezember 2005 (BGBl. I S. 3538) hinsichtlich der Newcastle-Krankheit weiter anzuwenden.</w:t>
      </w:r>
    </w:p>
    <w:p>
      <w:r>
        <w:rPr>
          <w:color w:val="555555"/>
          <w:sz w:val="17"/>
        </w:rPr>
        <w:t xml:space="preserve">Zitiervorschlag: § 67 GeflPestSchV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https://recht.nulegal.eu/gesetze/GeflPestSchV/67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67 GeflPestSchV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