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GeflPestSchV — Aufhebung der Schutzmaßregeln</w:t>
      </w:r>
    </w:p>
    <w:p>
      <w:r>
        <w:rPr>
          <w:color w:val="555555"/>
          <w:sz w:val="18"/>
        </w:rPr>
        <w:t xml:space="preserve">Geflügelpest-Verordnung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 Behörde hebt die Festlegungen nach § 55, auch in Verbindung mit § 62 auf, wenn hochpathogenes aviäres Influenzavirus nicht nachgewiesen worden ist.</w:t>
      </w:r>
    </w:p>
    <w:p>
      <w:r>
        <w:rPr>
          <w:color w:val="555555"/>
          <w:sz w:val="17"/>
        </w:rPr>
        <w:t xml:space="preserve">Zitiervorschlag: § 63 GeflPestSchV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https://recht.nulegal.eu/gesetze/GeflPestSchV/63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