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GeflPestSchV — Schutzmaßregeln für den Bestand</w:t>
      </w:r>
    </w:p>
    <w:p>
      <w:r>
        <w:rPr>
          <w:color w:val="555555"/>
          <w:sz w:val="18"/>
        </w:rPr>
        <w:t xml:space="preserve">Geflügelpest-Verordnung</w:t>
      </w:r>
    </w:p>
    <w:p>
      <w:r>
        <w:rPr>
          <w:color w:val="555555"/>
          <w:sz w:val="18"/>
        </w:rPr>
        <w:t xml:space="preserve">Stand: 10.06.2019 (konsolidierte Textfassung, kein amtliches Inkrafttretensdatum)</w:t>
      </w:r>
    </w:p>
    <w:p>
      <w:r>
        <w:t xml:space="preserve">(1) Ist niedrigpathogene aviäre Influenza der Subtypen H5 oder H7 bei einem gehaltenen Vogel in einem Bestand oder einer sonstigen Vogelhaltung amtlich festgestellt, so ordnet die zuständige Behörde in Bezug auf den Bestand oder die sonstige Vogelhaltung</w:t>
      </w:r>
    </w:p>
    <w:p>
      <w:pPr>
        <w:ind w:left="420"/>
      </w:pPr>
      <w:r>
        <w:t xml:space="preserve">1. die Tötung und unschädliche Beseitigung der gehaltenen Vögel,</w:t>
      </w:r>
    </w:p>
    <w:p>
      <w:pPr>
        <w:ind w:left="420"/>
      </w:pPr>
      <w:r>
        <w:t xml:space="preserve">2. die unschädliche Beseitigung der vorhandenen Bruteier und tierischen Nebenprodukte</w:t>
      </w:r>
    </w:p>
    <w:p>
      <w:r>
        <w:t xml:space="preserve">an und führt epidemiologische Nachforschungen nach § 15 Absatz 1 Satz 3 durch.</w:t>
      </w:r>
    </w:p>
    <w:p>
      <w:r>
        <w:t xml:space="preserve">(2) Die zuständige Behörde kann auf der Grundlage einer Risikobewertung und nach Maßgabe des Anhangs V der Richtlinie 2005/94/EG im Falle von Geflügel anstelle der Tötungsanordnung nach Absatz 1 Nummer 1 das Verbringen des Geflügels unmittelbar zur Schlachtung in eine von ihr bezeichnete Schlachtstätte anordnen, soweit sichergestellt ist, dass</w:t>
      </w:r>
    </w:p>
    <w:p>
      <w:pPr>
        <w:ind w:left="420"/>
      </w:pPr>
      <w:r>
        <w:t xml:space="preserve">1. die Maßnahmen nach Maßgabe des Kapitels IV Nummer 8.16 des Anhangs der Entscheidung 2006/437/EG durchgeführt worden sind,</w:t>
      </w:r>
    </w:p>
    <w:p>
      <w:pPr>
        <w:ind w:left="420"/>
      </w:pPr>
      <w:r>
        <w:t xml:space="preserve">2. die für die bezeichnete Schlachtstätte zuständige Behörde</w:t>
      </w:r>
    </w:p>
    <w:p>
      <w:pPr>
        <w:ind w:left="780"/>
      </w:pPr>
      <w:r>
        <w:t xml:space="preserve">a) dem Versand des Geflügels zugestimmt hat und</w:t>
      </w:r>
    </w:p>
    <w:p>
      <w:pPr>
        <w:ind w:left="780"/>
      </w:pPr>
      <w:r>
        <w:t xml:space="preserve">b) die für die Geflügelhaltung zuständige Behörde unverzüglich über die durchgeführte Schlachtung unterrichtet,</w:t>
      </w:r>
    </w:p>
    <w:p>
      <w:pPr>
        <w:ind w:left="420"/>
      </w:pPr>
      <w:r>
        <w:t xml:space="preserve">3. das Geflügel in einem verplombten Transportfahrzeug oder unter amtlicher Überwachung befördert wird,</w:t>
      </w:r>
    </w:p>
    <w:p>
      <w:pPr>
        <w:ind w:left="420"/>
      </w:pPr>
      <w:r>
        <w:t xml:space="preserve">4. das Geflügel am Ende des Schlachttages geschlachtet wird und die zur Schlachtung benutzten Gegenstände anschließend unverzüglich gereinigt und desinfiziert werden,</w:t>
      </w:r>
    </w:p>
    <w:p>
      <w:pPr>
        <w:ind w:left="420"/>
      </w:pPr>
      <w:r>
        <w:t xml:space="preserve">5. die tierischen Nebenprodukte des nach Nummer 4 geschlachteten Geflügels unverzüglich unschädlich beseitigt werden,</w:t>
      </w:r>
    </w:p>
    <w:p>
      <w:pPr>
        <w:ind w:left="420"/>
      </w:pPr>
      <w:r>
        <w:t xml:space="preserve">6. die Einrichtungsgegenstände und Gerätschaften sowie die Fahrzeuge, mit denen das Geflügel transportiert worden ist, nach Maßgabe des Anhangs VI der Richtlinie 2005/94/EG gereinigt und desinfiziert werden</w:t>
      </w:r>
    </w:p>
    <w:p>
      <w:r>
        <w:t xml:space="preserve">und Belange der Tierseuchenbekämpfung nicht entgegenstehen.</w:t>
      </w:r>
    </w:p>
    <w:p>
      <w:r>
        <w:t xml:space="preserve">(3) Mit der Bekanntgabe der Anordnung nach Absatz 1 Nummer 1 oder Absatz 2 gilt § 15 Absatz 2 Satz 1 Nummer 1 bis 7 Buchstabe a und b entsprechend.</w:t>
      </w:r>
    </w:p>
    <w:p>
      <w:r>
        <w:t xml:space="preserve">(4) Die zuständige Behörde</w:t>
      </w:r>
    </w:p>
    <w:p>
      <w:pPr>
        <w:ind w:left="420"/>
      </w:pPr>
      <w:r>
        <w:t xml:space="preserve">1. führt Untersuchungen durch über den Verbleib von</w:t>
      </w:r>
    </w:p>
    <w:p>
      <w:pPr>
        <w:ind w:left="780"/>
      </w:pPr>
      <w:r>
        <w:t xml:space="preserve">a) Bruteiern, die in der Zeit von der mutmaßlichen Einschleppung der Seuche in den Bestand oder die sonstige Vogelhaltung bis zu ihrer amtlichen Feststellung aus dem Bestand oder der sonstigen Vogelhaltung verbracht worden sind,</w:t>
      </w:r>
    </w:p>
    <w:p>
      <w:pPr>
        <w:ind w:left="780"/>
      </w:pPr>
      <w:r>
        <w:t xml:space="preserve">b) Geflügel aus Bruteiern, das in der Zeit von der mutmaßlichen Einschleppung der Seuche in den Bestand oder die sonstige Vogelhaltung bis zu ihrer amtlichen Feststellung aus Bruteiern geschlüpft und aus dem Bestand oder der sonstigen Vogelhaltung verbracht worden ist,</w:t>
      </w:r>
    </w:p>
    <w:p>
      <w:pPr>
        <w:ind w:left="420"/>
      </w:pPr>
      <w:r>
        <w:t xml:space="preserve">2. ordnet an, dass</w:t>
      </w:r>
    </w:p>
    <w:p>
      <w:pPr>
        <w:ind w:left="780"/>
      </w:pPr>
      <w:r>
        <w:t xml:space="preserve">a) Säugetiere, die im Bestand oder der sonstigen Vogelhaltung gehalten werden, nicht aus dem Bestand oder der sonstigen Vogelhaltung verbracht werden,</w:t>
      </w:r>
    </w:p>
    <w:p>
      <w:pPr>
        <w:ind w:left="780"/>
      </w:pPr>
      <w:r>
        <w:t xml:space="preserve">b) Konsumeier, die in der Zeit der mutmaßlichen Einschleppung der Seuche in den Bestand oder die sonstige Vogelhaltung bis zu ihrer amtlichen Feststellung im Bestand oder der sonstigen Vogelhaltung erzeugt worden sind,</w:t>
      </w:r>
    </w:p>
    <w:p>
      <w:pPr>
        <w:ind w:left="1140"/>
      </w:pPr>
      <w:r>
        <w:t xml:space="preserve">aa) in eine von der zuständigen Behörde bezeichneten Packstelle befördert und dort in Einwegpackungen verpackt werden oder</w:t>
      </w:r>
    </w:p>
    <w:p>
      <w:pPr>
        <w:ind w:left="1140"/>
      </w:pPr>
      <w:r>
        <w:t xml:space="preserve">bb) in einen Verarbeitungsbetrieb für Eiprodukte nach Anhang III Abschnitt X Kapitel II der Verordnung (EG) Nr. 853/2004 verbracht und dort nach Maßgabe des Anhangs II Kapitel XI der Verordnung (EG) Nr. 852/2004 behandelt werden,</w:t>
      </w:r>
    </w:p>
    <w:p>
      <w:pPr>
        <w:ind w:left="780"/>
      </w:pPr>
      <w:r>
        <w:t xml:space="preserve">c) eine Reinigung und Desinfektion</w:t>
      </w:r>
    </w:p>
    <w:p>
      <w:pPr>
        <w:ind w:left="1140"/>
      </w:pPr>
      <w:r>
        <w:t xml:space="preserve">aa) der Ställe und sonstigen Standorte, in denen Vögel gehalten worden sind, und ihrer unmittelbaren Umgebung,</w:t>
      </w:r>
    </w:p>
    <w:p>
      <w:pPr>
        <w:ind w:left="1140"/>
      </w:pPr>
      <w:r>
        <w:t xml:space="preserve">bb) der Einrichtungsgegenstände und Gerätschaften, die mit gehaltenen Vögeln in Berührung gekommen sein können,</w:t>
      </w:r>
    </w:p>
    <w:p>
      <w:pPr>
        <w:ind w:left="1140"/>
      </w:pPr>
      <w:r>
        <w:t xml:space="preserve">cc) der Fahrzeuge, mit denen getötete oder verendete Vögel transportiert worden sind,</w:t>
      </w:r>
    </w:p>
    <w:p>
      <w:pPr>
        <w:ind w:left="780"/>
      </w:pPr>
      <w:r>
        <w:t xml:space="preserve">nach Maßgabe des Anhangs VI der Richtlinie 2005/94/EG durchgeführt werden,</w:t>
      </w:r>
    </w:p>
    <w:p>
      <w:pPr>
        <w:ind w:left="780"/>
      </w:pPr>
      <w:r>
        <w:t xml:space="preserve">d) eine Entwesung der Ställe und sonstigen Standorte, in denen Vögel gehalten werden, und ihrer unmittelbaren Umgebung durchgeführt wird und</w:t>
      </w:r>
    </w:p>
    <w:p>
      <w:pPr>
        <w:ind w:left="780"/>
      </w:pPr>
      <w:r>
        <w:t xml:space="preserve">e) eine Desinfektion</w:t>
      </w:r>
    </w:p>
    <w:p>
      <w:pPr>
        <w:ind w:left="1140"/>
      </w:pPr>
      <w:r>
        <w:t xml:space="preserve">aa) des Kotes oder benutzter Einstreu nach Maßgabe des Anhangs VI Nummer 3 Buchstabe a der Richtlinie 2005/94/EG und</w:t>
      </w:r>
    </w:p>
    <w:p>
      <w:pPr>
        <w:ind w:left="1140"/>
      </w:pPr>
      <w:r>
        <w:t xml:space="preserve">bb) der Gülle nach Maßgabe des Anhangs VI Nummer 3 Buchstabe b der Richtlinie 2005/94/EG oder nach näherer Anweisung der zuständigen Behörde</w:t>
      </w:r>
    </w:p>
    <w:p>
      <w:pPr>
        <w:ind w:left="780"/>
      </w:pPr>
      <w:r>
        <w:t xml:space="preserve">durchgeführt wird.</w:t>
      </w:r>
    </w:p>
    <w:p>
      <w:r>
        <w:t xml:space="preserve">Die zuständige Behörde kann Ausnahmen nach Satz 1 Nummer 2 Buchstabe a genehmigen, soweit sichergestellt ist, dass die Säugetiere nicht mit im Bestand oder in der sonstigen Vogelhaltung gehaltenen Vögeln in Kontakt gekommen sind.</w:t>
      </w:r>
    </w:p>
    <w:p>
      <w:r>
        <w:rPr>
          <w:color w:val="555555"/>
          <w:sz w:val="17"/>
        </w:rPr>
        <w:t xml:space="preserve">Zitiervorschlag: § 46 GeflPestSchV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https://recht.nulegal.eu/gesetze/GeflPestSchV/46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