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GeflPestSchV — Schutzmaßregeln für den Kontaktbestand</w:t>
      </w:r>
    </w:p>
    <w:p>
      <w:r>
        <w:rPr>
          <w:color w:val="555555"/>
          <w:sz w:val="18"/>
        </w:rPr>
        <w:t xml:space="preserve">Geflügelpest-Verordnung</w:t>
      </w:r>
    </w:p>
    <w:p>
      <w:r>
        <w:rPr>
          <w:color w:val="555555"/>
          <w:sz w:val="18"/>
        </w:rPr>
        <w:t xml:space="preserve">Stand: 10.06.2019 (konsolidierte Textfassung, kein amtliches Inkrafttretensdatum)</w:t>
      </w:r>
    </w:p>
    <w:p>
      <w:r>
        <w:t xml:space="preserve">(1) Führen die epidemiologischen Nachforschungen nach § 15 Absatz 1 Satz 2 Nummer 2 zu dem Ergebnis, dass die Geflügelpest aus einem anderen Geflügelbestand oder einer sonstigen Vogelhaltung eingeschleppt oder bereits in andere Geflügelbestände oder sonstige Vogelhaltungen weiterverschleppt worden sein kann, so ordnet die zuständige Behörde für diese Bestände oder sonstigen Vogelhaltungen (Kontaktbestände) die behördliche Beobachtung an.</w:t>
      </w:r>
    </w:p>
    <w:p>
      <w:r>
        <w:t xml:space="preserve">(2) Für die der behördlichen Beobachtung unterstellten Kontaktbestände</w:t>
      </w:r>
    </w:p>
    <w:p>
      <w:pPr>
        <w:ind w:left="420"/>
      </w:pPr>
      <w:r>
        <w:t xml:space="preserve">1. ordnet die zuständige Behörde eine Untersuchung nach Kapitel IV Nummer 8.5 des Anhangs der Entscheidung 2006/437/EG an,</w:t>
      </w:r>
    </w:p>
    <w:p>
      <w:pPr>
        <w:ind w:left="420"/>
      </w:pPr>
      <w:r>
        <w:t xml:space="preserve">2. kann die zuständige Behörde, soweit dies aus Gründen der Tierseuchenbekämpfung erforderlich ist,</w:t>
      </w:r>
    </w:p>
    <w:p>
      <w:pPr>
        <w:ind w:left="780"/>
      </w:pPr>
      <w:r>
        <w:t xml:space="preserve">a) unter Berücksichtigung des Anhangs IV der Richtlinie 2005/94/EG die Tötung und unschädliche Beseitigung,</w:t>
      </w:r>
    </w:p>
    <w:p>
      <w:pPr>
        <w:ind w:left="780"/>
      </w:pPr>
      <w:r>
        <w:t xml:space="preserve">b) zusätzlich zu den Untersuchungen nach Nummer 1 eine serologische und virologische Untersuchung</w:t>
      </w:r>
    </w:p>
    <w:p>
      <w:pPr>
        <w:ind w:left="420"/>
      </w:pPr>
      <w:r>
        <w:t xml:space="preserve">der gehaltenen Vögel des Bestandes anordnen,</w:t>
      </w:r>
    </w:p>
    <w:p>
      <w:pPr>
        <w:ind w:left="420"/>
      </w:pPr>
      <w:r>
        <w:t xml:space="preserve">3. gilt § 15 Absatz 2 Satz 1 Nummer 2 bis 8, Satz 2 und Absatz 4 entsprechend.</w:t>
      </w:r>
    </w:p>
    <w:p>
      <w:r>
        <w:rPr>
          <w:color w:val="555555"/>
          <w:sz w:val="17"/>
        </w:rPr>
        <w:t xml:space="preserve">Zitiervorschlag: § 35 GeflPestSchV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https://recht.nulegal.eu/gesetze/GeflPestSchV/35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