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 GeflPestSchV — Risikobewertung</w:t>
      </w:r>
    </w:p>
    <w:p>
      <w:r>
        <w:rPr>
          <w:color w:val="555555"/>
          <w:sz w:val="18"/>
        </w:rPr>
        <w:t xml:space="preserve">Geflügelpest-Verordnung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Genehmigung nach § 22 bis § 24, § 28, § 29, § 31 und § 32 darf nur erteilt werden, soweit sichergestellt ist, dass</w:t>
      </w:r>
    </w:p>
    <w:p>
      <w:pPr>
        <w:ind w:left="420"/>
      </w:pPr>
      <w:r>
        <w:t xml:space="preserve">1. die Gesundheit von Vögeln und</w:t>
      </w:r>
    </w:p>
    <w:p>
      <w:pPr>
        <w:ind w:left="420"/>
      </w:pPr>
      <w:r>
        <w:t xml:space="preserve">2. die tierseuchenrechtlichen Anforderungen, die die von Vögeln gewonnenen Erzeugnisse beim Inverkehrbringen, beim innergemeinschaftlichen Verbringen und bei der Ausfuhr erfüllen müssen,</w:t>
      </w:r>
    </w:p>
    <w:p>
      <w:r>
        <w:t xml:space="preserve">nicht beeinträchtigt werden.</w:t>
      </w:r>
    </w:p>
    <w:p>
      <w:r>
        <w:rPr>
          <w:color w:val="555555"/>
          <w:sz w:val="17"/>
        </w:rPr>
        <w:t xml:space="preserve">Zitiervorschlag: § 33 GeflPestSchV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https://recht.nulegal.eu/gesetze/GeflPestSchV/33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 GeflPestSchV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