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32a GeflPestSchV — Schutzmaßregeln für Gebiete mit hoher Geflügeldichte</w:t>
      </w:r>
    </w:p>
    <w:p>
      <w:r>
        <w:rPr>
          <w:color w:val="555555"/>
          <w:sz w:val="18"/>
        </w:rPr>
        <w:t xml:space="preserve">Geflügelpest-Verordnung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Geflügelpest bei einem gehaltenen Vogel amtlich festgestellt, kann die zuständige Behörde nach Maßgabe der Sätze 2 und 3 anordnen, dass die Geflügelbestände oder sonstigen Vogelhaltungen innerhalb eines bestimmten, an ein Beobachtungsgebiet oder eine Kontrollzone unmittelbar angrenzenden Gebietes mit einem Radius von insgesamt höchstens 25 Kilometern um den Seuchenbestand</w:t>
      </w:r>
    </w:p>
    <w:p>
      <w:pPr>
        <w:ind w:left="420"/>
      </w:pPr>
      <w:r>
        <w:t xml:space="preserve">1. frühestens 30 Tage nach einer Entfernung des Geflügels aus dem jeweiligen Bestand oder der jeweiligen Vogelhaltung oder</w:t>
      </w:r>
    </w:p>
    <w:p>
      <w:pPr>
        <w:ind w:left="420"/>
      </w:pPr>
      <w:r>
        <w:t xml:space="preserve">2. im Falle leerstehender Gebäude oder Einrichtungen zur Haltung von Vögeln frühestens 30 Tage nach Erlass der Anordnung</w:t>
      </w:r>
    </w:p>
    <w:p>
      <w:r>
        <w:t xml:space="preserve">wiederbelegt werden dürfen. Die Anordnung darf nur ergehen,</w:t>
      </w:r>
    </w:p>
    <w:p>
      <w:pPr>
        <w:ind w:left="420"/>
      </w:pPr>
      <w:r>
        <w:t xml:space="preserve">1. für ein Gebiet, in dem mindestens 500 Stück Geflügel pro Quadratkilometer gehalten werden, und</w:t>
      </w:r>
    </w:p>
    <w:p>
      <w:pPr>
        <w:ind w:left="420"/>
      </w:pPr>
      <w:r>
        <w:t xml:space="preserve">2. soweit eine von der zuständigen Behörde durchgeführte Risikobewertung ergeben hat, dass die Anordnung aus Gründen der Tierseuchenbekämpfung erforderlich ist.</w:t>
      </w:r>
    </w:p>
    <w:p>
      <w:r>
        <w:t xml:space="preserve">Die Anordnung ist auf die erforderlichen Vogelarten zu beschränken.</w:t>
      </w:r>
    </w:p>
    <w:p>
      <w:r>
        <w:rPr>
          <w:color w:val="555555"/>
          <w:sz w:val="17"/>
        </w:rPr>
        <w:t xml:space="preserve">Zitiervorschlag: § 32a GeflPestSchV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https://recht.nulegal.eu/gesetze/GeflPestSchV/32a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