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GeflPestSchV — Weitere Ausnahmen von der Kontrollzonenregelung</w:t>
      </w:r>
    </w:p>
    <w:p>
      <w:r>
        <w:rPr>
          <w:color w:val="555555"/>
          <w:sz w:val="18"/>
        </w:rPr>
        <w:t xml:space="preserve">Geflügelpest-Verordnung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kann Ausnahmen von § 30 Absatz 3 Satz 1 Nummer 2 Buchstabe a genehmigen für das Verbringen von Bruteiern aus einem Bestand in der Kontrollzone in eine Brüterei</w:t>
      </w:r>
    </w:p>
    <w:p>
      <w:pPr>
        <w:ind w:left="420"/>
      </w:pPr>
      <w:r>
        <w:t xml:space="preserve">1. im Inland oder</w:t>
      </w:r>
    </w:p>
    <w:p>
      <w:pPr>
        <w:ind w:left="420"/>
      </w:pPr>
      <w:r>
        <w:t xml:space="preserve">2. in einem Mitgliedstaat oder einem Drittland, soweit</w:t>
      </w:r>
    </w:p>
    <w:p>
      <w:pPr>
        <w:ind w:left="780"/>
      </w:pPr>
      <w:r>
        <w:t xml:space="preserve">a) die zuständige Behörde des Mitgliedstaates oder des Drittlandes zugestimmt hat, oder</w:t>
      </w:r>
    </w:p>
    <w:p>
      <w:pPr>
        <w:ind w:left="780"/>
      </w:pPr>
      <w:r>
        <w:t xml:space="preserve">b) die Bruteier in einem Bestand erzeugt worden sind, in dem serologische Stichprobenuntersuchungen des Geflügels durchgeführt worden sind, um mit einer Wahrscheinlichkeit von 95 vom Hundert und einer angenommenen Rate von 5 vom Hundert von Geflügelpest befallene Tiere zu erkennen und die Rückverfolgbarkeit der Bruteier sichergestellt ist.</w:t>
      </w:r>
    </w:p>
    <w:p>
      <w:r>
        <w:t xml:space="preserve">(2) In den Fällen des Absatzes 1 Nummer 2 muss, soweit bei einem gehaltenen Vogel hochpathogenes aviäres Influenzavirus des Subtyps H5N1 amtlich festgestellt worden ist, die Gesundheitsbescheinigung nach dem Muster 1 des Anhangs IV der Richtlinie 2009/158/EG, die Sendungen von Bruteiern beim Verbringen in andere Mitgliedstaaten begleitet, folgenden Vermerk enthalten: „Diese Sendung erfüllt die Hygienebedingungen der Entscheidung 2006/415/EG der Kommission“.</w:t>
      </w:r>
    </w:p>
    <w:p>
      <w:r>
        <w:t xml:space="preserve">(3) Für das Verbringen von frischem Fleisch von Geflügel und Federwild gilt § 24, für das Verbringen von tierischen Nebenprodukten § 25 entsprechend.</w:t>
      </w:r>
    </w:p>
    <w:p>
      <w:r>
        <w:rPr>
          <w:color w:val="555555"/>
          <w:sz w:val="17"/>
        </w:rPr>
        <w:t xml:space="preserve">Zitiervorschlag: § 32 GeflPestSchV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https://recht.nulegal.eu/gesetze/GeflPestSchV/32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