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7b GefahrgutG — Beirat</w:t>
      </w:r>
    </w:p>
    <w:p>
      <w:r>
        <w:rPr>
          <w:color w:val="555555"/>
          <w:sz w:val="18"/>
        </w:rPr>
        <w:t xml:space="preserve">Gefahrgutbeförderungsgesetz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Beim Bundesministerium für Verkehr und digitale Infrastruktur wird ein Gefahrgut-Verkehrs-Beirat (Beirat) eingesetzt.</w:t>
      </w:r>
    </w:p>
    <w:p>
      <w:r>
        <w:t xml:space="preserve">(2) Der Beirat hat die Aufgabe, das Bundesministerium für Verkehr und digitale Infrastruktur hinsichtlich der sicheren Beförderung gefährlicher Güter, insbesondere der Durchführung dieses Gesetzes, zu beraten.</w:t>
      </w:r>
    </w:p>
    <w:p>
      <w:r>
        <w:t xml:space="preserve">(3) Dem Beirat sollen insbesondere sachverständige Personen aus dem Kreis der</w:t>
      </w:r>
    </w:p>
    <w:p>
      <w:pPr>
        <w:ind w:left="420"/>
      </w:pPr>
      <w:r>
        <w:t xml:space="preserve">1. Sicherheitsbehörden und -organisationen im Sinne von § 7a Abs. 1,</w:t>
      </w:r>
    </w:p>
    <w:p>
      <w:pPr>
        <w:ind w:left="420"/>
      </w:pPr>
      <w:r>
        <w:t xml:space="preserve">2. Länder,</w:t>
      </w:r>
    </w:p>
    <w:p>
      <w:pPr>
        <w:ind w:left="420"/>
      </w:pPr>
      <w:r>
        <w:t xml:space="preserve">3. Verbände der Wirtschaft, einschließlich der Verkehrswirtschaft,</w:t>
      </w:r>
    </w:p>
    <w:p>
      <w:pPr>
        <w:ind w:left="420"/>
      </w:pPr>
      <w:r>
        <w:t xml:space="preserve">4. Gewerkschaften und</w:t>
      </w:r>
    </w:p>
    <w:p>
      <w:pPr>
        <w:ind w:left="420"/>
      </w:pPr>
      <w:r>
        <w:t xml:space="preserve">5. Wissenschaft</w:t>
      </w:r>
    </w:p>
    <w:p>
      <w:r>
        <w:t xml:space="preserve">angehören. Das Bundesministerium für Verkehr und digitale Infrastruktur die Zahl der Beiratsmitglieder und benennt die dem Beirat angehörenden Stellen im Einzelnen.</w:t>
      </w:r>
    </w:p>
    <w:p>
      <w:r>
        <w:t xml:space="preserve">(4) Die Bundesministerien haben das Recht, in Sitzungen des Beirats vertreten zu sein und gehört zu werden.</w:t>
      </w:r>
    </w:p>
    <w:p>
      <w:r>
        <w:rPr>
          <w:color w:val="555555"/>
          <w:sz w:val="17"/>
        </w:rPr>
        <w:t xml:space="preserve">Zitiervorschlag: § 7b GefahrgutG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https://recht.nulegal.eu/gesetze/GefahrgutG/7b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