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7a GefahrgutG — Anhörung</w:t>
      </w:r>
    </w:p>
    <w:p>
      <w:r>
        <w:rPr>
          <w:color w:val="555555"/>
          <w:sz w:val="18"/>
        </w:rPr>
        <w:t xml:space="preserve">Gefahrgutbeförderungsgesetz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Vor dem Erlass von Rechtsverordnungen nach den §§ 3, 6 und 7 sollen Sicherheitsbehörden und -organisationen angehört werden, insbesondere</w:t>
      </w:r>
    </w:p>
    <w:p>
      <w:pPr>
        <w:ind w:left="420"/>
      </w:pPr>
      <w:r>
        <w:t xml:space="preserve">1. das Bundesamt für die Sicherheit der nuklearen Entsorgung,</w:t>
      </w:r>
    </w:p>
    <w:p>
      <w:pPr>
        <w:ind w:left="420"/>
      </w:pPr>
      <w:r>
        <w:t xml:space="preserve">2. die Bundesanstalt für Materialforschung und -prüfung,</w:t>
      </w:r>
    </w:p>
    <w:p>
      <w:pPr>
        <w:ind w:left="420"/>
      </w:pPr>
      <w:r>
        <w:t xml:space="preserve">3. das Bundesinstitut für Risikobewertung,</w:t>
      </w:r>
    </w:p>
    <w:p>
      <w:pPr>
        <w:ind w:left="420"/>
      </w:pPr>
      <w:r>
        <w:t xml:space="preserve">4. die Physikalisch-Technische Bundesanstalt,</w:t>
      </w:r>
    </w:p>
    <w:p>
      <w:pPr>
        <w:ind w:left="420"/>
      </w:pPr>
      <w:r>
        <w:t xml:space="preserve">5. das Robert-Koch-Institut,</w:t>
      </w:r>
    </w:p>
    <w:p>
      <w:pPr>
        <w:ind w:left="420"/>
      </w:pPr>
      <w:r>
        <w:t xml:space="preserve">6. das Umweltbundesamt,</w:t>
      </w:r>
    </w:p>
    <w:p>
      <w:pPr>
        <w:ind w:left="420"/>
      </w:pPr>
      <w:r>
        <w:t xml:space="preserve">7. das Wehrwissenschaftliche Institut für Werk-, Explosiv- und Betriebsstoffe und</w:t>
      </w:r>
    </w:p>
    <w:p>
      <w:pPr>
        <w:ind w:left="420"/>
      </w:pPr>
      <w:r>
        <w:t xml:space="preserve">8. das Eisenbahn-Bundesamt.</w:t>
      </w:r>
    </w:p>
    <w:p>
      <w:r>
        <w:t xml:space="preserve">(2) Verbände und Sachverständige der beteiligten Wirtschaft einschließlich der Verkehrswirtschaft sollen vor dem Erlass der Rechtsverordnungen nach Absatz 1 gehört werden. Das Bundesministerium für Verkehr und digitale Infrastruktur bestimmt den jeweiligen Umfang der Anhörung und die anzuhörenden Verbände und Sachverständigen.</w:t>
      </w:r>
    </w:p>
    <w:p>
      <w:r>
        <w:rPr>
          <w:color w:val="555555"/>
          <w:sz w:val="17"/>
        </w:rPr>
        <w:t xml:space="preserve">Zitiervorschlag: § 7a GefahrgutG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https://recht.nulegal.eu/gesetze/GefahrgutG/7a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