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GefahrgutG — Allgemeine Ausnahmen</w:t>
      </w:r>
    </w:p>
    <w:p>
      <w:r>
        <w:rPr>
          <w:color w:val="555555"/>
          <w:sz w:val="18"/>
        </w:rPr>
        <w:t xml:space="preserve">Gefahrgutbeförderungsgesetz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Bundesministerium für Verkehr und digitale Infrastruktur kann allgemeine Ausnahmen von den auf diesem Gesetz beruhenden Rechtsverordnungen durch Rechtsverordnung mit Zustimmung des Bundesrates zulassen für die Beförderung gefährlicher Güter mit</w:t>
      </w:r>
    </w:p>
    <w:p>
      <w:pPr>
        <w:ind w:left="420"/>
      </w:pPr>
      <w:r>
        <w:t xml:space="preserve">1. Eisenbahn- oder Straßenfahrzeugen im Rahmen des Artikels 6 der Richtlinie 96/49/EG des Rates vom 23. Juli 1996 zur Angleichung der Rechtsvorschriften der Mitgliedstaaten für die Eisenbahnbeförderung gefährlicher Güter und des Artikels 6 der Richtlinie 94/55/EG des Rates vom 21. November 1994 zur Angleichung der Rechtsvorschriften der Mitgliedstaaten für den Gefahrguttransport auf der Straße,</w:t>
      </w:r>
    </w:p>
    <w:p>
      <w:pPr>
        <w:ind w:left="420"/>
      </w:pPr>
      <w:r>
        <w:t xml:space="preserve">2. Fahrzeugen, die nach Artikel 1 Abs. 2 Buchstabe a der Richtlinie 94/55/EG in den Geltungsbereich des Gesetzes einbezogen werden,</w:t>
      </w:r>
    </w:p>
    <w:p>
      <w:pPr>
        <w:ind w:left="420"/>
      </w:pPr>
      <w:r>
        <w:t xml:space="preserve">3. Wasserfahrzeugen,</w:t>
      </w:r>
    </w:p>
    <w:p>
      <w:pPr>
        <w:ind w:left="420"/>
      </w:pPr>
      <w:r>
        <w:t xml:space="preserve">4. Luftfahrzeugen.</w:t>
      </w:r>
    </w:p>
    <w:p>
      <w:r>
        <w:rPr>
          <w:color w:val="555555"/>
          <w:sz w:val="17"/>
        </w:rPr>
        <w:t xml:space="preserve">Zitiervorschlag: § 6 GefahrgutG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https://recht.nulegal.eu/gesetze/GefahrgutG/6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