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GefahrgutG — Begriffsbestimmungen</w:t>
      </w:r>
    </w:p>
    <w:p>
      <w:r>
        <w:rPr>
          <w:color w:val="555555"/>
          <w:sz w:val="18"/>
        </w:rPr>
        <w:t xml:space="preserve">Gefahrgutbeförderungsgesetz</w:t>
      </w:r>
    </w:p>
    <w:p>
      <w:r>
        <w:rPr>
          <w:color w:val="555555"/>
          <w:sz w:val="18"/>
        </w:rPr>
        <w:t xml:space="preserve">Stand: 10.06.2019 (konsolidierte Textfassung, kein amtliches Inkrafttretensdatum)</w:t>
      </w:r>
    </w:p>
    <w:p>
      <w:r>
        <w:t xml:space="preserve">(1) Gefährliche Güter im Sinne dieses Gesetzes sind Stoffe und Gegenstände, von denen auf Grund ihrer Natur, ihrer Eigenschaften oder ihres Zustandes im Zusammenhang mit der Beförderung Gefahren für die öffentliche Sicherheit oder Ordnung, insbesondere für die Allgemeinheit, für wichtige Gemeingüter, für Leben und Gesundheit von Menschen sowie für Tiere und Sachen ausgehen können.</w:t>
      </w:r>
    </w:p>
    <w:p>
      <w:r>
        <w:t xml:space="preserve">(2) Die Beförderung im Sinne dieses Gesetzes umfasst nicht nur den Vorgang der Ortsveränderung, sondern auch die Übernahme und die Ablieferung des Gutes sowie zeitweilige Aufenthalte im Verlauf der Beförderung, Vorbereitungs- und Abschlusshandlungen (Verpacken und Auspacken der Güter, Be- und Entladen), Herstellen, Einführen und Inverkehrbringen von Verpackungen, Beförderungsmitteln und Fahrzeugen für die Beförderung gefährlicher Güter, auch wenn diese Handlungen nicht vom Beförderer ausgeführt werden. Ein zeitweiliger Aufenthalt im Verlauf der Beförderung liegt vor, wenn dabei gefährliche Güter für den Wechsel der Beförderungsart oder des Beförderungsmittels (Umschlag) oder aus sonstigen transportbedingten Gründen zeitweilig abgestellt werden. Auf Verlangen sind Beförderungsdokumente vorzulegen, aus denen Versand- und Empfangsort feststellbar sind. Wird die Sendung nicht nach der Anlieferung entladen, gilt das Bereitstellen der Ladung beim Empfänger zur Entladung als Ende der Beförderung. Versandstücke, Tankcontainer, Tanks und Kesselwagen dürfen während des zeitweiligen Aufenthaltes nicht geöffnet werden.</w:t>
      </w:r>
    </w:p>
    <w:p>
      <w:r>
        <w:rPr>
          <w:color w:val="555555"/>
          <w:sz w:val="17"/>
        </w:rPr>
        <w:t xml:space="preserve">Zitiervorschlag: § 2 GefahrgutG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https://recht.nulegal.eu/gesetze/GefahrgutG/2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