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GefahrgutG — Strafvorschriften</w:t>
      </w:r>
    </w:p>
    <w:p>
      <w:r>
        <w:rPr>
          <w:color w:val="555555"/>
          <w:sz w:val="18"/>
        </w:rPr>
        <w:t xml:space="preserve">Gefahrgutbeförderungsgesetz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Freiheitsstrafe bis zu einem Jahr oder mit Geldstrafe wird bestraft, wer eine in § 10 Abs. 1 Nr. 1 Buchstabe a bezeichnete vorsätzliche Handlung beharrlich wiederholt oder durch eine solche vorsätzliche Handlung Leben oder Gesundheit eines Anderen, ihm nicht gehörende Tiere oder fremde Sachen von bedeutendem Wert gefährdet.</w:t>
      </w:r>
    </w:p>
    <w:p>
      <w:r>
        <w:rPr>
          <w:color w:val="555555"/>
          <w:sz w:val="17"/>
        </w:rPr>
        <w:t xml:space="preserve">Zitiervorschlag: § 11 GefahrgutG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https://recht.nulegal.eu/gesetze/GefahrgutG/11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