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GefStoffV 2010 — Grundpflichten</w:t>
      </w:r>
    </w:p>
    <w:p>
      <w:r>
        <w:rPr>
          <w:color w:val="555555"/>
          <w:sz w:val="18"/>
        </w:rPr>
        <w:t xml:space="preserve">Gefahrstoffverordnung</w:t>
      </w:r>
    </w:p>
    <w:p>
      <w:r>
        <w:rPr>
          <w:color w:val="555555"/>
          <w:sz w:val="18"/>
        </w:rPr>
        <w:t xml:space="preserve">Stand: 05.12.2024 (konsolidierte Textfassung, kein amtliches Inkrafttretensdatum)</w:t>
      </w:r>
    </w:p>
    <w:p>
      <w:r>
        <w:t xml:space="preserve">(1) Der Arbeitgeber darf eine Tätigkeit mit Gefahrstoffen erst aufnehmen lassen, nachdem eine Gefährdungsbeurteilung nach § 6 durchgeführt und die erforderlichen Schutzmaßnahmen nach Abschnitt 4 ergriffen worden sind.</w:t>
      </w:r>
    </w:p>
    <w:p>
      <w:r>
        <w:t xml:space="preserve">(1a) Der Arbeitgeber hat die Belange des Arbeitsschutzes bei Tätigkeiten mit Gefahrstoffen angemessen in seine betriebliche Organisation einzubinden und die dafür erforderlichen personellen, finanziellen und organisatorischen Voraussetzungen zu schaffen. Insbesondere hat er dafür zu sorgen, dass bei der Gestaltung der Arbeitsorganisation, des Arbeitsverfahrens und des Arbeitsplatzes sowie bei der Auswahl und Bereitstellung der Arbeitsmittel alle Faktoren ausreichend berücksichtigt werden, die mit der Sicherheit und Gesundheit, einschließlich der psychischen Gesundheit, der Beschäftigten zusammenhängen.</w:t>
      </w:r>
    </w:p>
    <w:p>
      <w:r>
        <w:t xml:space="preserve">(2) Um die Gesundheit und die Sicherheit der Beschäftigten bei allen Tätigkeiten mit Gefahrstoffen zu gewährleisten, hat der Arbeitgeber die erforderlichen Maßnahmen nach dem Arbeitsschutzgesetz und zusätzlich die nach dieser Verordnung erforderlichen Maßnahmen zu ergreifen. Dabei hat er die nach § 20 Absatz 4 bekannt gegebenen Regeln und Erkenntnisse zu berücksichtigen. Bei Einhaltung dieser Regeln und Erkenntnisse ist in der Regel davon auszugehen, dass die Anforderungen dieser Verordnung erfüllt sind. Von diesen Regeln und Erkenntnissen kann abgewichen werden, wenn durch andere Maßnahmen zumindest in vergleichbarer Weise der Schutz der Gesundheit und die Sicherheit der Beschäftigten gewährleistet werden.</w:t>
      </w:r>
    </w:p>
    <w:p>
      <w:r>
        <w:t xml:space="preserve">(3) Der Arbeitgeber hat auf der Grundlage des Ergebnisses der Substitutionsprüfung nach § 6 Absatz 1 Satz 2 Nummer 4 vorrangig eine Substitution durchzuführen. Er hat Gefahrstoffe oder Verfahren durch Stoffe, Gemische oder Erzeugnisse oder Verfahren zu ersetzen, die unter den jeweiligen Verwendungsbedingungen für die Gesundheit und Sicherheit der Beschäftigten nicht oder weniger gefährlich sind.</w:t>
      </w:r>
    </w:p>
    <w:p>
      <w:r>
        <w:t xml:space="preserve">(4) Der Arbeitgeber hat Gefährdungen der Gesundheit und der Sicherheit der Beschäftigten bei Tätigkeiten mit Gefahrstoffen auszuschließen. Ist dies nicht möglich, hat er sie auf ein Minimum zu reduzieren. Diesen Geboten hat der Arbeitgeber durch die Festlegung und Anwendung geeigneter Schutzmaßnahmen Rechnung zu tragen. Dabei hat er folgende Rangfolge zu beachten:</w:t>
      </w:r>
    </w:p>
    <w:p>
      <w:pPr>
        <w:ind w:left="420"/>
      </w:pPr>
      <w:r>
        <w:t xml:space="preserve">1. Gestaltung geeigneter Verfahren und technischer Steuerungseinrichtungen von Verfahren, den Einsatz emissionsfreier oder emissionsarmer Verwendungsformen sowie Verwendung geeigneter Arbeitsmittel und Materialien nach dem Stand der Technik,</w:t>
      </w:r>
    </w:p>
    <w:p>
      <w:pPr>
        <w:ind w:left="420"/>
      </w:pPr>
      <w:r>
        <w:t xml:space="preserve">2. Anwendung kollektiver Schutzmaßnahmen technischer Art an der Gefahrenquelle, wie angemessene Be- und Entlüftung, und Anwendung geeigneter organisatorischer Maßnahmen,</w:t>
      </w:r>
    </w:p>
    <w:p>
      <w:pPr>
        <w:ind w:left="420"/>
      </w:pPr>
      <w:r>
        <w:t xml:space="preserve">3. sofern eine Gefährdung nicht durch Maßnahmen nach den Nummern 1 und 2 verhütet werden kann, Anwendung von individuellen Schutzmaßnahmen, die auch die Bereitstellung und Verwendung von persönlicher Schutzausrüstung umfassen.</w:t>
      </w:r>
    </w:p>
    <w:p>
      <w:r>
        <w:t xml:space="preserve">(5) Beschäftigte müssen die bereitgestellte persönliche Schutzausrüstung verwenden, solange eine Gefährdung besteht. Die Verwendung von belastender persönlicher Schutzausrüstung darf keine Dauermaßnahme sein. Sie ist für jeden Beschäftigten auf das unbedingt erforderliche Minimum zu beschränken.</w:t>
      </w:r>
    </w:p>
    <w:p>
      <w:r>
        <w:t xml:space="preserve">(6) Der Arbeitgeber stellt sicher, dass</w:t>
      </w:r>
    </w:p>
    <w:p>
      <w:pPr>
        <w:ind w:left="420"/>
      </w:pPr>
      <w:r>
        <w:t xml:space="preserve">1. die persönliche Schutzausrüstung an einem dafür vorgesehenen Ort sachgerecht aufbewahrt wird,</w:t>
      </w:r>
    </w:p>
    <w:p>
      <w:pPr>
        <w:ind w:left="420"/>
      </w:pPr>
      <w:r>
        <w:t xml:space="preserve">2. die persönliche Schutzausrüstung vor Gebrauch geprüft und nach Gebrauch gereinigt wird und</w:t>
      </w:r>
    </w:p>
    <w:p>
      <w:pPr>
        <w:ind w:left="420"/>
      </w:pPr>
      <w:r>
        <w:t xml:space="preserve">3. schadhafte persönliche Schutzausrüstung vor erneutem Gebrauch ausgebessert oder ausgetauscht wird.</w:t>
      </w:r>
    </w:p>
    <w:p>
      <w:r>
        <w:t xml:space="preserve">(7) Der Arbeitgeber hat die Funktion und die Wirksamkeit der technischen Schutzmaßnahmen regelmäßig, mindestens jedoch jedes dritte Jahr, zu überprüfen. Das Ergebnis der Prüfungen ist aufzuzeichnen und vorzugsweise zusammen mit der Dokumentation nach § 6 Absatz 8 aufzubewahren.</w:t>
      </w:r>
    </w:p>
    <w:p>
      <w:r>
        <w:t xml:space="preserve">(8) Der Arbeitgeber stellt sicher, dass folgende Grenzwerte eingehalten werden:</w:t>
      </w:r>
    </w:p>
    <w:p>
      <w:pPr>
        <w:ind w:left="420"/>
      </w:pPr>
      <w:r>
        <w:t xml:space="preserve">1. Arbeitsplatzgrenzwerte und</w:t>
      </w:r>
    </w:p>
    <w:p>
      <w:pPr>
        <w:ind w:left="420"/>
      </w:pPr>
      <w:r>
        <w:t xml:space="preserve">2. Grenzwerte in Anhang III der Richtlinie 2004/37/EG des Europäischen Parlaments und des Rates vom 29. April 2004 über den Schutz der Arbeitnehmer gegen Gefährdung durch Exposition gegenüber Karzinogenen, Mutagenen oder reproduktionstoxischen Stoffen bei der Arbeit (Sechste Einzelrichtlinie im Sinne von Artikel 16 Absatz 1 der Richtlinie 89/391/EWG des Rates) (kodifizierte Fassung) (ABl. L 158 vom 30.4.2004, S. 50; L 229 vom 29.6.2004, S. 23; L 204 vom 4.8.2007, S. 28), die zuletzt durch die Richtlinie (EU) 2022/431 vom 9. März 2022 (ABl. L 088 vom 16.3.2022, S. 1) geändert worden ist, in der jeweils geltenden Fassung und nach Ablauf der in der Richtlinie festgelegten Umsetzungsfrist.</w:t>
      </w:r>
    </w:p>
    <w:p>
      <w:r>
        <w:t xml:space="preserve">Er hat die Einhaltung durch Arbeitsplatzmessungen oder durch andere geeignete Methoden zur Ermittlung der Exposition zu überprüfen. Ermittlungen sind auch durchzuführen, wenn sich die Bedingungen ändern, welche die Exposition der Beschäftigten beeinflussen können. Die Ermittlungsergebnisse sind aufzuzeichnen, aufzubewahren und den Beschäftigten und ihrer Vertretung zugänglich zu machen. Werden Tätigkeiten entsprechend einem verfahrens- und stoffspezifischen Kriterium ausgeübt, das nach § 20 Absatz 4 bekannt gegebenen worden ist, kann der Arbeitgeber in der Regel davon ausgehen, dass die Arbeitsplatzgrenzwerte eingehalten werden; in diesem Fall findet Satz 2 keine Anwendung.</w:t>
      </w:r>
    </w:p>
    <w:p>
      <w:r>
        <w:t xml:space="preserve">(8a) Kann eine Exposition am Arbeitsplatz anderenfalls nicht ausreichend beurteilt werden, können zum Zweck der Beurteilung der Exposition der Beschäftigten zur Erfüllung der Pflichten nach § 6 Absatz 1 Erkenntnisse aus dem Biomonitoring nach § 6 Absatz 2 der Verordnung zur arbeitsmedizinischen Vorsorge verwendet werden, sofern solche Erkenntnisse vorliegen. Soweit dies im Einzelfall erforderlich ist, können zu diesem Zweck auch personenbezogene Erkenntnisse verwendet werden. § 22 Absatz 2 des Bundesdatenschutzgesetzes gilt entsprechend.</w:t>
      </w:r>
    </w:p>
    <w:p>
      <w:r>
        <w:t xml:space="preserve">(9) Sofern Tätigkeiten mit Gefahrstoffen ausgeübt werden, für die keine Grenzwerte oder Konzentrationen nach § 2 Absatz 8 bis 8b oder § 7 Absatz 8 Satz 1 Nummer 2 vorliegen, hat der Arbeitgeber regelmäßig die Wirksamkeit der ergriffenen technischen Schutzmaßnahmen durch geeignete Ermittlungsmethoden zu überprüfen, zu denen auch Arbeitsplatzmessungen gehören können.</w:t>
      </w:r>
    </w:p>
    <w:p>
      <w:r>
        <w:t xml:space="preserve">(10) Wer Arbeitsplatzmessungen von Gefahrstoffen durchführt, muss fachkundig sein und über die erforderlichen Einrichtungen verfügen und wer geeignete Methoden zur Ermittlung der Exposition am Arbeitsplatz anwendet, muss ebenfalls fachkundig sein. Wenn ein Arbeitgeber eine für Messungen von Gefahrstoffen an Arbeitsplätzen akkreditierte Messstelle beauftragt, kann der Arbeitgeber in der Regel davon ausgehen, dass die von dieser Messstelle gewonnenen Erkenntnisse zutreffend sind.</w:t>
      </w:r>
    </w:p>
    <w:p>
      <w:r>
        <w:t xml:space="preserve">(11) Der Arbeitgeber hat bei allen Ermittlungen und Messungen die nach § 20 Absatz 4 bekannt gegebenen Regeln und Erkenntnisse zu berücksichtigen.</w:t>
      </w:r>
    </w:p>
    <w:p>
      <w:r>
        <w:rPr>
          <w:color w:val="555555"/>
          <w:sz w:val="17"/>
        </w:rPr>
        <w:t xml:space="preserve">Zitiervorschlag: § 7 GefStoffV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https://recht.nulegal.eu/gesetze/GefStoffV%202010/7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