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GefStoffV 2010 — Sicherheitsdatenblatt und sonstige Informationspflichten</w:t>
      </w:r>
    </w:p>
    <w:p>
      <w:r>
        <w:rPr>
          <w:color w:val="555555"/>
          <w:sz w:val="18"/>
        </w:rPr>
        <w:t xml:space="preserve">Gefahrstoffverordnung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vom Lieferanten hinsichtlich des Sicherheitsdatenblatts beim Inverkehrbringen von Stoffen und Gemischen zu beachtenden Anforderungen ergeben sich aus Artikel 31 in Verbindung mit Anhang II der Verordnung (EG) Nr. 1907/2006. Ist nach diesen Vorschriften die Übermittlung eines Sicherheitsdatenblatts nicht erforderlich, richten sich die Informationspflichten nach Artikel 32 der Verordnung (EG) Nr. 1907/2006.</w:t>
      </w:r>
    </w:p>
    <w:p>
      <w:r>
        <w:t xml:space="preserve">(2) Bei den Angaben, die nach den Nummern 15 und 16 des Anhangs II der Verordnung (EG) Nr. 1907/2006 zu machen sind, sind insbesondere die nach § 20 Absatz 4 bekannt gegebenen Regeln und Erkenntnisse zu berücksichtigen, nach denen Stoffe oder Tätigkeiten als krebserzeugend, keimzellmutagen oder reproduktionstoxisch bezeichnet werden.</w:t>
      </w:r>
    </w:p>
    <w:p>
      <w:r>
        <w:t xml:space="preserve">(3) (weggefallen)</w:t>
      </w:r>
    </w:p>
    <w:p>
      <w:r>
        <w:rPr>
          <w:color w:val="555555"/>
          <w:sz w:val="17"/>
        </w:rPr>
        <w:t xml:space="preserve">Zitiervorschlag: § 5 GefStoffV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https://recht.nulegal.eu/gesetze/GefStoffV%202010/5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