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GefStoffV 2010 — Einstufung, Kennzeichnung, Verpackung</w:t>
      </w:r>
    </w:p>
    <w:p>
      <w:r>
        <w:rPr>
          <w:color w:val="555555"/>
          <w:sz w:val="18"/>
        </w:rPr>
        <w:t xml:space="preserve">Gefahrstoffverordnung</w:t>
      </w:r>
    </w:p>
    <w:p>
      <w:r>
        <w:rPr>
          <w:color w:val="555555"/>
          <w:sz w:val="18"/>
        </w:rPr>
        <w:t xml:space="preserve">Stand: 05.12.2024 (konsolidierte Textfassung, kein amtliches Inkrafttretensdatum)</w:t>
      </w:r>
    </w:p>
    <w:p>
      <w:r>
        <w:t xml:space="preserve">(1) Die Einstufung, Kennzeichnung und Verpackung von Stoffen und Gemischen sowie von Erzeugnissen mit Explosivstoff richten sich nach den Bestimmungen der Verordnung (EG) Nr. 1272/2008.</w:t>
      </w:r>
    </w:p>
    <w:p>
      <w:r>
        <w:t xml:space="preserve">(2) Bei der Einstufung von Stoffen und Gemischen sind die nach § 20 Absatz 4 bekannt gegebenen Regeln und Erkenntnisse zu beachten.</w:t>
      </w:r>
    </w:p>
    <w:p>
      <w:r>
        <w:t xml:space="preserve">(3) Die Kennzeichnung von Stoffen und Gemischen, die in Deutschland in Verkehr gebracht werden, muss in deutscher Sprache erfolgen.</w:t>
      </w:r>
    </w:p>
    <w:p>
      <w:r>
        <w:t xml:space="preserve">(4) Werden gefährliche Stoffe oder gefährliche Gemische unverpackt in Verkehr gebracht, sind jeder Liefereinheit geeignete Sicherheitsinformationen oder ein Sicherheitsdatenblatt in deutscher Sprache beizufügen.</w:t>
      </w:r>
    </w:p>
    <w:p>
      <w:r>
        <w:t xml:space="preserve">(5) Lieferanten eines Biozid-Produkts, für das ein Dritter der Zulassungsinhaber ist, haben über die in Absatz 1 erwähnten Kennzeichnungspflichten hinaus sicherzustellen, dass die vom Zulassungsinhaber nach Artikel 69 Absatz 2 Satz 2 der Verordnung (EU) Nr. 528/2012 anzubringende Zusatzkennzeichnung bei der Abgabe an Dritte erhalten oder neu angebracht ist. Biozid-Produkte, die aufgrund des § 28 Absatz 8 des Chemikaliengesetzes ohne Zulassung auf dem Markt bereitgestellt werden, sind zusätzlich zu der in Absatz 1 erwähnten Kennzeichnung entsprechend Artikel 69 Absatz 2 Satz 2 und 3 der Verordnung (EU) Nr. 528/2012 zu kennzeichnen, wobei die dort in Satz 2 Buchstabe c und d aufgeführten Angaben entfallen und die Angaben nach Satz 2 Buchstabe f und g auf die vorgesehenen Anwendungen zu beziehen sind.</w:t>
      </w:r>
    </w:p>
    <w:p>
      <w:r>
        <w:t xml:space="preserve">(6) Biozid-Wirkstoffe, die biologische Arbeitsstoffe nach § 2 Absatz 1 der Biostoffverordnung sind, sind zusätzlich nach § 3 der Biostoffverordnung einzustufen. Biozid-Wirkstoffe nach Satz 1 sowie Biozid-Produkte, bei denen der Wirkstoff ein biologischer Arbeitsstoff ist, sind zusätzlich mit den folgenden Elementen zu kennzeichnen:</w:t>
      </w:r>
    </w:p>
    <w:p>
      <w:pPr>
        <w:ind w:left="420"/>
      </w:pPr>
      <w:r>
        <w:t xml:space="preserve">1. Identität des Organismus nach Anhang II Titel 2 Nummer 2.1 und 2.2 der Verordnung (EU) Nr. 528/2012,</w:t>
      </w:r>
    </w:p>
    <w:p>
      <w:pPr>
        <w:ind w:left="420"/>
      </w:pPr>
      <w:r>
        <w:t xml:space="preserve">2. Einstufung der Mikroorganismen in Risikogruppen nach § 3 der Biostoffverordnung und</w:t>
      </w:r>
    </w:p>
    <w:p>
      <w:pPr>
        <w:ind w:left="420"/>
      </w:pPr>
      <w:r>
        <w:t xml:space="preserve">3. im Falle einer Einstufung in die Risikogruppe 2 und höher nach § 3 der Biostoffverordnung Hinzufügung des Symbols für Biogefährdung nach Anhang I der Biostoffverordnung.</w:t>
      </w:r>
    </w:p>
    <w:p>
      <w:r>
        <w:t xml:space="preserve">(7) Dekontaminierte PCB-haltige Geräte im Sinne der Richtlinie 96/59/EG müssen nach dem Anhang dieser Richtlinie gekennzeichnet werden.</w:t>
      </w:r>
    </w:p>
    <w:p>
      <w:r>
        <w:t xml:space="preserve">(8) Die Kennzeichnung bestimmter, beschränkter Stoffe, Gemische und Erzeugnisse richtet sich zusätzlich nach Artikel 67 in Verbindung mit Anhang XVII der Verordnung (EG) Nr. 1907/2006 in ihrer jeweils geltenden Fassung.</w:t>
      </w:r>
    </w:p>
    <w:p>
      <w:r>
        <w:t xml:space="preserve">(9) Der Lieferant eines Gemischs oder eines Stoffs hat einem nachgeschalteten Anwender auf Anfrage unverzüglich alle Informationen zur Verfügung zu stellen, die dieser für eine ordnungsgemäße Einstufung neuer Gemische benötigt, wenn</w:t>
      </w:r>
    </w:p>
    <w:p>
      <w:pPr>
        <w:ind w:left="420"/>
      </w:pPr>
      <w:r>
        <w:t xml:space="preserve">1. der Informationsgehalt der Kennzeichnung oder des Sicherheitsdatenblatts des Gemischs oder</w:t>
      </w:r>
    </w:p>
    <w:p>
      <w:pPr>
        <w:ind w:left="420"/>
      </w:pPr>
      <w:r>
        <w:t xml:space="preserve">2. die Information über eine Verunreinigung oder Beimengung auf dem Kennzeichnungsetikett oder im Sicherheitsdatenblatt des Stoffs</w:t>
      </w:r>
    </w:p>
    <w:p>
      <w:r>
        <w:t xml:space="preserve">dafür nicht ausreicht.</w:t>
      </w:r>
    </w:p>
    <w:p>
      <w:r>
        <w:rPr>
          <w:color w:val="555555"/>
          <w:sz w:val="17"/>
        </w:rPr>
        <w:t xml:space="preserve">Zitiervorschlag: § 4 GefStoffV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https://recht.nulegal.eu/gesetze/GefStoffV%202010/4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