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GefStoffV 2010 — Chemikaliengesetz – Tätigkeiten</w:t>
      </w:r>
    </w:p>
    <w:p>
      <w:r>
        <w:rPr>
          <w:color w:val="555555"/>
          <w:sz w:val="18"/>
        </w:rPr>
        <w:t xml:space="preserve">Gefahrstoffverordnung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Ordnungswidrig im Sinne des § 26 Absatz 1 Nummer 8 Buchstabe b des Chemikaliengesetzes handelt, wer vorsätzlich oder fahrlässig</w:t>
      </w:r>
    </w:p>
    <w:p>
      <w:pPr>
        <w:ind w:left="420"/>
      </w:pPr>
      <w:r>
        <w:t xml:space="preserve">1. entgegen § 5a Absatz 2 Satz 1 das Datum des Baubeginns oder das Baujahr des Objekts nicht, nicht richtig, nicht vollständig, nicht in der vorgeschriebenen Art und Weise oder nicht rechtzeitig übermittelt,</w:t>
      </w:r>
    </w:p>
    <w:p>
      <w:pPr>
        <w:ind w:left="420"/>
      </w:pPr>
      <w:r>
        <w:t xml:space="preserve">1a. entgegen § 6 Absatz 8 Satz 1 eine Gefährdungsbeurteilung nicht, nicht richtig, nicht vollständig oder nicht rechtzeitig dokumentiert,</w:t>
      </w:r>
    </w:p>
    <w:p>
      <w:pPr>
        <w:ind w:left="420"/>
      </w:pPr>
      <w:r>
        <w:t xml:space="preserve">2. entgegen § 6 Absatz 12 Satz 1 ein Gefahrstoffverzeichnis nicht, nicht richtig oder nicht vollständig führt,</w:t>
      </w:r>
    </w:p>
    <w:p>
      <w:pPr>
        <w:ind w:left="420"/>
      </w:pPr>
      <w:r>
        <w:t xml:space="preserve">3. entgegen § 7 Absatz 1 eine Tätigkeit aufnehmen lässt,</w:t>
      </w:r>
    </w:p>
    <w:p>
      <w:pPr>
        <w:ind w:left="420"/>
      </w:pPr>
      <w:r>
        <w:t xml:space="preserve">4. entgegen § 7 Absatz 5 Satz 2 das Verwenden von belastender persönlicher Schutzausrüstung als Dauermaßnahme anwendet,</w:t>
      </w:r>
    </w:p>
    <w:p>
      <w:pPr>
        <w:ind w:left="420"/>
      </w:pPr>
      <w:r>
        <w:t xml:space="preserve">5. entgegen § 7 Absatz 7 Satz 1 die Funktion und die Wirksamkeit der technischen Schutzmaßnahmen nicht oder nicht rechtzeitig überprüft,</w:t>
      </w:r>
    </w:p>
    <w:p>
      <w:pPr>
        <w:ind w:left="420"/>
      </w:pPr>
      <w:r>
        <w:t xml:space="preserve">6. entgegen § 8 Absatz 2 Satz 3 eine Tätigkeit ausüben lässt,</w:t>
      </w:r>
    </w:p>
    <w:p>
      <w:pPr>
        <w:ind w:left="420"/>
      </w:pPr>
      <w:r>
        <w:t xml:space="preserve">7. entgegen § 8 Absatz 3 Satz 2 einen Bereich nicht oder nicht rechtzeitig einrichtet,</w:t>
      </w:r>
    </w:p>
    <w:p>
      <w:pPr>
        <w:ind w:left="420"/>
      </w:pPr>
      <w:r>
        <w:t xml:space="preserve">8. entgegen § 8 Absatz 5 Satz 3 Gefahrstoffe aufbewahrt oder lagert,</w:t>
      </w:r>
    </w:p>
    <w:p>
      <w:pPr>
        <w:ind w:left="420"/>
      </w:pPr>
      <w:r>
        <w:t xml:space="preserve">9. (weggefallen)</w:t>
      </w:r>
    </w:p>
    <w:p>
      <w:pPr>
        <w:ind w:left="420"/>
      </w:pPr>
      <w:r>
        <w:t xml:space="preserve">10. (weggefallen)</w:t>
      </w:r>
    </w:p>
    <w:p>
      <w:pPr>
        <w:ind w:left="420"/>
      </w:pPr>
      <w:r>
        <w:t xml:space="preserve">11. entgegen § 8 Absatz 8 in Verbindung mit Anhang I Nummer 5.4.2.1 Absatz 2 Stoffe oder Gemische der Gruppe A lagert oder befördert,</w:t>
      </w:r>
    </w:p>
    <w:p>
      <w:pPr>
        <w:ind w:left="420"/>
      </w:pPr>
      <w:r>
        <w:t xml:space="preserve">12. entgegen § 8 Absatz 8 in Verbindung mit Anhang I Nummer 5.4.2.1 Absatz 3 brennbare Materialien lagert,</w:t>
      </w:r>
    </w:p>
    <w:p>
      <w:pPr>
        <w:ind w:left="420"/>
      </w:pPr>
      <w:r>
        <w:t xml:space="preserve">13. entgegen § 8 Absatz 8 in Verbindung mit Anhang I Nummer 5.4.2.2 Absatz 3 Stoffe oder Gemische nicht oder nicht rechtzeitig in Teilmengen unterteilt,</w:t>
      </w:r>
    </w:p>
    <w:p>
      <w:pPr>
        <w:ind w:left="420"/>
      </w:pPr>
      <w:r>
        <w:t xml:space="preserve">14. entgegen § 8 Absatz 8 in Verbindung mit Anhang I Nummer 5.4.2.3 Absatz 5 Stoffe oder Gemische lagert,</w:t>
      </w:r>
    </w:p>
    <w:p>
      <w:pPr>
        <w:ind w:left="420"/>
      </w:pPr>
      <w:r>
        <w:t xml:space="preserve">15. entgegen § 9 Absatz 3 Satz 2 oder § 9 Absatz 4 eine persönliche Schutzausrüstung nicht oder nicht rechtzeitig bereitstellt,</w:t>
      </w:r>
    </w:p>
    <w:p>
      <w:pPr>
        <w:ind w:left="420"/>
      </w:pPr>
      <w:r>
        <w:t xml:space="preserve">15a. entgegen § 9 Absatz 5 nicht gewährleistet, dass getrennte Aufbewahrungsmöglichkeiten zur Verfügung stehen,</w:t>
      </w:r>
    </w:p>
    <w:p>
      <w:pPr>
        <w:ind w:left="420"/>
      </w:pPr>
      <w:r>
        <w:t xml:space="preserve">16. entgegen § 10 Absatz 2 Satz 1 Nummer 5 nicht sicherstellt, dass abgesaugte Luft nicht zurückgeführt wird,</w:t>
      </w:r>
    </w:p>
    <w:p>
      <w:pPr>
        <w:ind w:left="420"/>
      </w:pPr>
      <w:r>
        <w:t xml:space="preserve">17. entgegen § 10 Absatz 3 Nummer 2 Atemschutz nicht oder nicht richtig zur Verfügung stellt,</w:t>
      </w:r>
    </w:p>
    <w:p>
      <w:pPr>
        <w:ind w:left="420"/>
      </w:pPr>
      <w:r>
        <w:t xml:space="preserve">17a. entgegen § 10a Absatz 1 Satz 1 ein Verzeichnis nicht, nicht richtig oder nicht vollständig führt,</w:t>
      </w:r>
    </w:p>
    <w:p>
      <w:pPr>
        <w:ind w:left="420"/>
      </w:pPr>
      <w:r>
        <w:t xml:space="preserve">17b. entgegen § 10a Absatz 2 Satz 1 ein Verzeichnis nicht oder nicht für die vorgeschriebene Dauer aufbewahrt,</w:t>
      </w:r>
    </w:p>
    <w:p>
      <w:pPr>
        <w:ind w:left="420"/>
      </w:pPr>
      <w:r>
        <w:t xml:space="preserve">17c. entgegen § 10a Absatz 6 Nummer 2 nicht sicherstellt, dass ein Beschäftigter oder eine Vertretung unterrichtet und informiert wird,</w:t>
      </w:r>
    </w:p>
    <w:p>
      <w:pPr>
        <w:ind w:left="420"/>
      </w:pPr>
      <w:r>
        <w:t xml:space="preserve">17d. entgegen § 11a Absatz 1 Satz 1 Nummer 6 in Verbindung mit Anhang I Nummer 3.2 Satz 1 einen Arbeitsplan nicht oder nicht rechtzeitig erstellt,</w:t>
      </w:r>
    </w:p>
    <w:p>
      <w:pPr>
        <w:ind w:left="420"/>
      </w:pPr>
      <w:r>
        <w:t xml:space="preserve">17e. entgegen § 11a Absatz 2 Satz 3 in Verbindung mit Anhang I Nummer 3.3 Absatz 2 Satz 1 einen Schutzanzug nicht oder nicht richtig zur Verfügung stellt,</w:t>
      </w:r>
    </w:p>
    <w:p>
      <w:pPr>
        <w:ind w:left="420"/>
      </w:pPr>
      <w:r>
        <w:t xml:space="preserve">17f. entgegen § 11a Absatz 5 Satz 1 Nummer 1 erster Halbsatz nicht sicherstellt, dass eine dort genannte Aufgabe durch eine dort genannte Person erfolgt,</w:t>
      </w:r>
    </w:p>
    <w:p>
      <w:pPr>
        <w:ind w:left="420"/>
      </w:pPr>
      <w:r>
        <w:t xml:space="preserve">17g. entgegen § 11a Absatz 5 Satz 1 Nummer 2 erster Halbsatz nicht sicherstellt, dass eine Tätigkeit durch eine dort genannte Person beaufsichtigt wird</w:t>
      </w:r>
    </w:p>
    <w:p>
      <w:pPr>
        <w:ind w:left="420"/>
      </w:pPr>
      <w:r>
        <w:t xml:space="preserve">18. entgegen § 12 Absatz 1 Satz 3 in Verbindung mit Anhang I Nummer 1.3 Absatz 2 Satz 1 das Rauchen oder die Verwendung von offenem Feuer oder offenem Licht nicht verbietet,</w:t>
      </w:r>
    </w:p>
    <w:p>
      <w:pPr>
        <w:ind w:left="420"/>
      </w:pPr>
      <w:r>
        <w:t xml:space="preserve">19. entgegen § 12 Absatz 1 Satz 3 in Verbindung mit Anhang I Nummer 1.5 Absatz 4 oder Nummer 1.6 Absatz 5 einen dort genannten Bereich nicht oder nicht richtig kennzeichnet,</w:t>
      </w:r>
    </w:p>
    <w:p>
      <w:pPr>
        <w:ind w:left="420"/>
      </w:pPr>
      <w:r>
        <w:t xml:space="preserve">19a. entgegen § 12 Absatz 4 Satz 2 in Verbindung mit Anhang III Nummer 2.3 Absatz 1 Satz 1 eine Tätigkeit mit einem organischen Peroxid ausüben lässt,</w:t>
      </w:r>
    </w:p>
    <w:p>
      <w:pPr>
        <w:ind w:left="420"/>
      </w:pPr>
      <w:r>
        <w:t xml:space="preserve">19b. entgegen § 12 Absatz 4 Satz 2 in Verbindung mit Anhang III Nummer 2.6 Satz 2 Buchstabe a nicht sicherstellt, dass ein dort genanntes Gebäude oder ein dort genannter Raum in Sicherheitsbauweise errichtet wird,</w:t>
      </w:r>
    </w:p>
    <w:p>
      <w:pPr>
        <w:ind w:left="420"/>
      </w:pPr>
      <w:r>
        <w:t xml:space="preserve">19c. entgegen § 12 Absatz 4 Satz 2 in Verbindung mit Anhang III Nummer 2.7 einen dort genannten Bereich nicht oder nicht rechtzeitig festlegt,</w:t>
      </w:r>
    </w:p>
    <w:p>
      <w:pPr>
        <w:ind w:left="420"/>
      </w:pPr>
      <w:r>
        <w:t xml:space="preserve">20. entgegen § 13 Absatz 2 Satz 1 eine dort genannte Maßnahme nicht oder nicht rechtzeitig ergreift,</w:t>
      </w:r>
    </w:p>
    <w:p>
      <w:pPr>
        <w:ind w:left="420"/>
      </w:pPr>
      <w:r>
        <w:t xml:space="preserve">21. entgegen § 13 Absatz 3 Satz 1 einen Beschäftigten nicht oder nicht rechtzeitig ausstattet,</w:t>
      </w:r>
    </w:p>
    <w:p>
      <w:pPr>
        <w:ind w:left="420"/>
      </w:pPr>
      <w:r>
        <w:t xml:space="preserve">22. entgegen § 13 Absatz 4 Warn- und sonstige Kommunikationseinrichtungen nicht zur Verfügung stellt,</w:t>
      </w:r>
    </w:p>
    <w:p>
      <w:pPr>
        <w:ind w:left="420"/>
      </w:pPr>
      <w:r>
        <w:t xml:space="preserve">23. entgegen § 13 Absatz 5 Satz 1 nicht sicherstellt, dass Informationen über Notfallmaßnahmen zur Verfügung stehen,</w:t>
      </w:r>
    </w:p>
    <w:p>
      <w:pPr>
        <w:ind w:left="420"/>
      </w:pPr>
      <w:r>
        <w:t xml:space="preserve">24. entgegen § 14 Absatz 1 Satz 1 nicht sicherstellt, dass den Beschäftigten eine schriftliche Betriebsanweisung in der vorgeschriebenen Weise zugänglich gemacht wird,</w:t>
      </w:r>
    </w:p>
    <w:p>
      <w:pPr>
        <w:ind w:left="420"/>
      </w:pPr>
      <w:r>
        <w:t xml:space="preserve">25. entgegen § 14 Absatz 2 Satz 1 nicht sicherstellt, dass die Beschäftigten über auftretende Gefährdungen und entsprechende Schutzmaßnahmen mündlich unterwiesen werden,</w:t>
      </w:r>
    </w:p>
    <w:p>
      <w:pPr>
        <w:ind w:left="420"/>
      </w:pPr>
      <w:r>
        <w:t xml:space="preserve">26. (weggefallen)</w:t>
      </w:r>
    </w:p>
    <w:p>
      <w:pPr>
        <w:ind w:left="420"/>
      </w:pPr>
      <w:r>
        <w:t xml:space="preserve">27. (weggefallen)</w:t>
      </w:r>
    </w:p>
    <w:p>
      <w:pPr>
        <w:ind w:left="420"/>
      </w:pPr>
      <w:r>
        <w:t xml:space="preserve">28. (weggefallen)</w:t>
      </w:r>
    </w:p>
    <w:p>
      <w:pPr>
        <w:ind w:left="420"/>
      </w:pPr>
      <w:r>
        <w:t xml:space="preserve">29. entgegen § 15c Absatz 3 Satz 1 ein Biozid-Produkt verwendet,</w:t>
      </w:r>
    </w:p>
    <w:p>
      <w:pPr>
        <w:ind w:left="420"/>
      </w:pPr>
      <w:r>
        <w:t xml:space="preserve">29a. ohne Erlaubnis nach § 15d Absatz 1 Satz 1 eine Begasung durchführt,</w:t>
      </w:r>
    </w:p>
    <w:p>
      <w:pPr>
        <w:ind w:left="420"/>
      </w:pPr>
      <w:r>
        <w:t xml:space="preserve">30. entgegen § 15d Absatz 4 Satz 2 Nummer 2 Buchstabe a nicht sicherstellt, dass die Begasung von einer dort genannten Person durchgeführt wird,</w:t>
      </w:r>
    </w:p>
    <w:p>
      <w:pPr>
        <w:ind w:left="420"/>
      </w:pPr>
      <w:r>
        <w:t xml:space="preserve">31. entgegen § 15d Absatz 4 Satz 2 Nummer 2 Buchstabe c nicht sicherstellt, dass neben dem Befähigungsscheininhaber eine weitere sachkundige Person anwesend ist, oder</w:t>
      </w:r>
    </w:p>
    <w:p>
      <w:pPr>
        <w:ind w:left="420"/>
      </w:pPr>
      <w:r>
        <w:t xml:space="preserve">32. entgegen § 15d Absatz 5 Nummer 1 einen Gefahrenbereich nicht oder nicht rechtzeitig sichert oder einen Gefahrenbereich freigibt.</w:t>
      </w:r>
    </w:p>
    <w:p>
      <w:r>
        <w:t xml:space="preserve">(2) Wer durch eine in Absatz 1 bezeichnete Handlung das Leben oder die Gesundheit eines anderen oder fremde Sachen von bedeutendem Wert gefährdet, ist nach § 27 Absatz 2 bis 4 des Chemikaliengesetzes strafbar.</w:t>
      </w:r>
    </w:p>
    <w:p>
      <w:r>
        <w:rPr>
          <w:color w:val="555555"/>
          <w:sz w:val="17"/>
        </w:rPr>
        <w:t xml:space="preserve">Zitiervorschlag: § 22 GefStoffV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https://recht.nulegal.eu/gesetze/GefStoffV%202010/22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GefStoffV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