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15e GefStoffV 2010 — Ergänzende Dokumentationspflichten</w:t>
      </w:r>
    </w:p>
    <w:p>
      <w:r>
        <w:rPr>
          <w:color w:val="555555"/>
          <w:sz w:val="18"/>
        </w:rPr>
        <w:t xml:space="preserve">Gefahrstoffverordnung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Der Arbeitgeber hat dafür Sorge zu tragen, dass über die Begasungen eine Niederschrift angefertigt wird. In der Niederschrift ist zu dokumentieren:</w:t>
      </w:r>
    </w:p>
    <w:p>
      <w:pPr>
        <w:ind w:left="420"/>
      </w:pPr>
      <w:r>
        <w:t xml:space="preserve">1. Name der verantwortlichen Person,</w:t>
      </w:r>
    </w:p>
    <w:p>
      <w:pPr>
        <w:ind w:left="420"/>
      </w:pPr>
      <w:r>
        <w:t xml:space="preserve">2. Art und Menge der verwendeten Biozid-Produkte oder Pflanzenschutzmittel,</w:t>
      </w:r>
    </w:p>
    <w:p>
      <w:pPr>
        <w:ind w:left="420"/>
      </w:pPr>
      <w:r>
        <w:t xml:space="preserve">3. Ort, Beginn und Ende der Begasung,</w:t>
      </w:r>
    </w:p>
    <w:p>
      <w:pPr>
        <w:ind w:left="420"/>
      </w:pPr>
      <w:r>
        <w:t xml:space="preserve">4. Zeitpunkt der Freigabe,</w:t>
      </w:r>
    </w:p>
    <w:p>
      <w:pPr>
        <w:ind w:left="420"/>
      </w:pPr>
      <w:r>
        <w:t xml:space="preserve">5. andere im Sinne von § 15 beteiligte Arbeitgeber und</w:t>
      </w:r>
    </w:p>
    <w:p>
      <w:pPr>
        <w:ind w:left="420"/>
      </w:pPr>
      <w:r>
        <w:t xml:space="preserve">6. die getroffenen Maßnahmen.</w:t>
      </w:r>
    </w:p>
    <w:p>
      <w:r>
        <w:t xml:space="preserve">(2) Der Arbeitgeber hat der zuständigen Behörde die Niederschrift auf Verlangen vorzulegen.</w:t>
      </w:r>
    </w:p>
    <w:p>
      <w:r>
        <w:t xml:space="preserve">(3) Werden für die Begasungen Pflanzenschutzmittel verwendet, kann die Niederschrift zusammen mit den Aufzeichnungen nach Artikel 67 Absatz 1 der Verordnung (EG) Nr. 1107/2009 des Europäischen Parlaments und des Rates vom 21. Oktober 2009 über das Inverkehrbringen von Pflanzenschutzmitteln und zur Aufhebung der Richtlinien 79/117/EWG und 91/414/EWG des Rates (ABl. L 309 vom 24.11.2009, S. 1; L 111 vom 2.5.2018, S. 10; L 45 vom 18.2.2020, S. 81), die zuletzt durch die Verordnung (EU) 2019/1381 vom 20. Juni 2019 (ABl. L 231 vom 6.9.2019, S. 1) geändert worden ist, erstellt werden.</w:t>
      </w:r>
    </w:p>
    <w:p>
      <w:r>
        <w:rPr>
          <w:color w:val="555555"/>
          <w:sz w:val="17"/>
        </w:rPr>
        <w:t xml:space="preserve">Zitiervorschlag: § 15e GefStoffV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https://recht.nulegal.eu/gesetze/GefStoffV%202010/15e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