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GefStoffV 2010 — Allgemeine Anforderungen an die Verwendung von Biozid-Produkten</w:t>
      </w:r>
    </w:p>
    <w:p>
      <w:r>
        <w:rPr>
          <w:color w:val="555555"/>
          <w:sz w:val="18"/>
        </w:rPr>
        <w:t xml:space="preserve">Gefahrstoffverordnung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Der Arbeitgeber hat vor Verwendung eines Biozid-Produkts sicherzustellen, dass die Anforderungen nach § 15a erfüllt werden. Dies erfolgt hinsichtlich der Anforderungen nach</w:t>
      </w:r>
    </w:p>
    <w:p>
      <w:pPr>
        <w:ind w:left="420"/>
      </w:pPr>
      <w:r>
        <w:t xml:space="preserve">1. § 15a Absatz 2 Satz 2 Nummer 1 im Rahmen der Substitutionsprüfung nach § 6 Absatz 1 Satz 2 Nummer 4,</w:t>
      </w:r>
    </w:p>
    <w:p>
      <w:pPr>
        <w:ind w:left="420"/>
      </w:pPr>
      <w:r>
        <w:t xml:space="preserve">2. § 15a Absatz 2 Satz 2 Nummer 3 im Rahmen der Gefährdungsbeurteilung nach § 6 Absatz 1; dabei hat der Arbeitgeber insbesondere Folgendes zu berücksichtigen:</w:t>
      </w:r>
    </w:p>
    <w:p>
      <w:pPr>
        <w:ind w:left="780"/>
      </w:pPr>
      <w:r>
        <w:t xml:space="preserve">a) die in der Zulassung festgelegten Maßnahmen zum Schutz der Sicherheit und Gesundheit sowie der Umwelt,</w:t>
      </w:r>
    </w:p>
    <w:p>
      <w:pPr>
        <w:ind w:left="780"/>
      </w:pPr>
      <w:r>
        <w:t xml:space="preserve">b) die Kennzeichnung nach § 4 Absatz 5 und 6 einschließlich des gegebenenfalls beigefügten Merkblatts.</w:t>
      </w:r>
    </w:p>
    <w:p>
      <w:r>
        <w:t xml:space="preserve">(2) Der Arbeitgeber hat die erforderlichen Maßnahmen unter Beachtung der Rangfolge nach § 7 Absatz 4 Satz 4 und unter dem Gesichtspunkt einer nachhaltigen Verwendung so festzulegen und durchzuführen, dass eine Gefährdung der Beschäftigten, anderer Personen oder der Umwelt verhindert oder minimiert wird.</w:t>
      </w:r>
    </w:p>
    <w:p>
      <w:r>
        <w:t xml:space="preserve">(3) Eine Fachkunde im Sinne von Anhang I Nummer 4.3 ist erforderlich für die Verwendung von Biozid-Produkten,</w:t>
      </w:r>
    </w:p>
    <w:p>
      <w:pPr>
        <w:ind w:left="420"/>
      </w:pPr>
      <w:r>
        <w:t xml:space="preserve">1. die zu der Hauptgruppe 3 „Schädlingsbekämpfungsmittel“ im Sinne des Anhangs V der Verordnung (EU) Nr. 528/2012 gehören oder</w:t>
      </w:r>
    </w:p>
    <w:p>
      <w:pPr>
        <w:ind w:left="420"/>
      </w:pPr>
      <w:r>
        <w:t xml:space="preserve">2. deren Wirkstoffe endokrinschädigende Eigenschaften nach Artikel 5 Absatz 1 Buchstabe d der Verordnung (EU) Nr. 528/2012 haben.</w:t>
      </w:r>
    </w:p>
    <w:p>
      <w:r>
        <w:t xml:space="preserve">Satz 1 gilt nicht, wenn das Biozid-Produkt für eine Verwendung durch die breite Öffentlichkeit zugelassen oder wenn für die Verwendung eine Sachkunde nach § 15c Absatz 3 erforderlich ist.</w:t>
      </w:r>
    </w:p>
    <w:p>
      <w:r>
        <w:rPr>
          <w:color w:val="555555"/>
          <w:sz w:val="17"/>
        </w:rPr>
        <w:t xml:space="preserve">Zitiervorschlag: § 15b GefStoffV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https://recht.nulegal.eu/gesetze/GefStoffV%202010/15b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