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GefStoffV 2010 — Betriebsstörungen, Unfälle und Notfälle</w:t>
      </w:r>
    </w:p>
    <w:p>
      <w:r>
        <w:rPr>
          <w:color w:val="555555"/>
          <w:sz w:val="18"/>
        </w:rPr>
        <w:t xml:space="preserve">Gefahrstoffverordnung</w:t>
      </w:r>
    </w:p>
    <w:p>
      <w:r>
        <w:rPr>
          <w:color w:val="555555"/>
          <w:sz w:val="18"/>
        </w:rPr>
        <w:t xml:space="preserve">Stand: 10.06.2019 (konsolidierte Textfassung, kein amtliches Inkrafttretensdatum)</w:t>
      </w:r>
    </w:p>
    <w:p>
      <w:r>
        <w:t xml:space="preserve">(1) Um die Gesundheit und die Sicherheit der Beschäftigten bei Betriebsstörungen, Unfällen oder Notfällen zu schützen, hat der Arbeitgeber rechtzeitig die Notfallmaßnahmen festzulegen, die beim Eintreten eines derartigen Ereignisses zu ergreifen sind. Dies schließt die Bereitstellung angemessener Erste-Hilfe-Einrichtungen und die Durchführung von Sicherheitsübungen in regelmäßigen Abständen ein.</w:t>
      </w:r>
    </w:p>
    <w:p>
      <w:r>
        <w:t xml:space="preserve">(2) Tritt eines der in Absatz 1 Satz 1 genannten Ereignisse ein, so hat der Arbeitgeber unverzüglich die gemäß Absatz 1 festgelegten Maßnahmen zu ergreifen, um</w:t>
      </w:r>
    </w:p>
    <w:p>
      <w:pPr>
        <w:ind w:left="420"/>
      </w:pPr>
      <w:r>
        <w:t xml:space="preserve">1. betroffene Beschäftigte über die durch das Ereignis hervorgerufene Gefahrensituation im Betrieb zu informieren,</w:t>
      </w:r>
    </w:p>
    <w:p>
      <w:pPr>
        <w:ind w:left="420"/>
      </w:pPr>
      <w:r>
        <w:t xml:space="preserve">2. die Auswirkungen des Ereignisses zu mindern und</w:t>
      </w:r>
    </w:p>
    <w:p>
      <w:pPr>
        <w:ind w:left="420"/>
      </w:pPr>
      <w:r>
        <w:t xml:space="preserve">3. wieder einen normalen Betriebsablauf herbeizuführen.</w:t>
      </w:r>
    </w:p>
    <w:p>
      <w:r>
        <w:t xml:space="preserve">Neben den Rettungskräften dürfen nur die Beschäftigten im Gefahrenbereich verbleiben, die Tätigkeiten zur Erreichung der Ziele nach Satz 1 Nummer 2 und 3 ausüben.</w:t>
      </w:r>
    </w:p>
    <w:p>
      <w:r>
        <w:t xml:space="preserve">(3) Der Arbeitgeber hat Beschäftigten, die im Gefahrenbereich tätig werden, vor Aufnahme ihrer Tätigkeit geeignete Schutzkleidung und persönliche Schutzausrüstung sowie gegebenenfalls erforderliche spezielle Sicherheitseinrichtungen und besondere Arbeitsmittel zur Verfügung zu stellen. Im Gefahrenbereich müssen die Beschäftigten die Schutzkleidung und die persönliche Schutzausrüstung für die Dauer des nicht bestimmungsgemäßen Betriebsablaufs verwenden. Die Verwendung belastender persönlicher Schutzausrüstung muss für die einzelnen Beschäftigten zeitlich begrenzt sein. Ungeschützte und unbefugte Personen dürfen sich nicht im festzulegenden Gefahrenbereich aufhalten.</w:t>
      </w:r>
    </w:p>
    <w:p>
      <w:r>
        <w:t xml:space="preserve">(4) Der Arbeitgeber hat Warn- und sonstige Kommunikationssysteme, die eine erhöhte Gefährdung der Gesundheit und Sicherheit anzeigen, zur Verfügung zu stellen, so dass eine angemessene Reaktion möglich ist und unverzüglich Abhilfemaßnahmen sowie Hilfs-, Evakuierungs- und Rettungsmaßnahmen eingeleitet werden können.</w:t>
      </w:r>
    </w:p>
    <w:p>
      <w:r>
        <w:t xml:space="preserve">(5) Der Arbeitgeber hat sicherzustellen, dass Informationen über Maßnahmen bei Notfällen mit Gefahrstoffen zur Verfügung stehen. Die zuständigen innerbetrieblichen und betriebsfremden Unfall- und Notfalldienste müssen Zugang zu diesen Informationen erhalten. Zu diesen Informationen zählen:</w:t>
      </w:r>
    </w:p>
    <w:p>
      <w:pPr>
        <w:ind w:left="420"/>
      </w:pPr>
      <w:r>
        <w:t xml:space="preserve">1. eine Vorabmitteilung über einschlägige Gefahren bei der Arbeit, über Maßnahmen zur Feststellung von Gefahren sowie über Vorsichtsmaßregeln und Verfahren, damit die Notfalldienste ihre eigenen Abhilfe- und Sicherheitsmaßnahmen vorbereiten können,</w:t>
      </w:r>
    </w:p>
    <w:p>
      <w:pPr>
        <w:ind w:left="420"/>
      </w:pPr>
      <w:r>
        <w:t xml:space="preserve">2. alle verfügbaren Informationen über spezifische Gefahren, die bei einem Unfall oder Notfall auftreten oder auftreten können, einschließlich der Informationen über die Verfahren nach den Absätzen 1 bis 4.</w:t>
      </w:r>
    </w:p>
    <w:p>
      <w:r>
        <w:rPr>
          <w:color w:val="555555"/>
          <w:sz w:val="17"/>
        </w:rPr>
        <w:t xml:space="preserve">Zitiervorschlag: § 13 GefStoffV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https://recht.nulegal.eu/gesetze/GefStoffV%202010/13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