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GefStoffV 2010 — Besondere Schutzmaßnahmen bei Tätigkeiten mit krebserzeugenden, keimzellmutagenen oder reproduktionstoxischen Gefahrstoffen der Kategorie 1A oder 1B</w:t>
      </w:r>
    </w:p>
    <w:p>
      <w:r>
        <w:rPr>
          <w:color w:val="555555"/>
          <w:sz w:val="18"/>
        </w:rPr>
        <w:t xml:space="preserve">Gefahrstoffverordnung</w:t>
      </w:r>
    </w:p>
    <w:p>
      <w:r>
        <w:rPr>
          <w:color w:val="555555"/>
          <w:sz w:val="18"/>
        </w:rPr>
        <w:t xml:space="preserve">Stand: 05.12.2024 (konsolidierte Textfassung, kein amtliches Inkrafttretensdatum)</w:t>
      </w:r>
    </w:p>
    <w:p>
      <w:r>
        <w:t xml:space="preserve">(1) Der Arbeitgeber hat sicherzustellen, dass krebserzeugende, keimzellmutagene oder reproduktionstoxische Gefahrstoffe der Kategorie 1A oder 1B in einem geschlossenen System hergestellt und verwendet werden, wenn eine Substitution der Gefahrstoffe technisch nicht möglich ist. Ist die Anwendung eines geschlossenen Systems technisch nicht möglich, hat der Arbeitgeber die Exposition der Beschäftigten nach dem Stand der Technik zu minimieren. Dabei hat er die Absätze 2 bis 6 zu beachten. Schutzmaßnahmen sind dabei umso dringlicher zu ergreifen, je höher die Exposition der Beschäftigten ist. Die Herstellungs- und Verwendungsbeschränkungen nach Anhang II Nummer 6 sind zu beachten. Für Tätigkeiten mit Asbest gelten die speziellen Anforderungen nach § 11a in Verbindung mit Anhang I Nummer 3.</w:t>
      </w:r>
    </w:p>
    <w:p>
      <w:r>
        <w:t xml:space="preserve">(2) Der Arbeitgeber hat</w:t>
      </w:r>
    </w:p>
    <w:p>
      <w:pPr>
        <w:ind w:left="420"/>
      </w:pPr>
      <w:r>
        <w:t xml:space="preserve">1. die Exposition der Beschäftigten durch Arbeitsplatzmessungen oder durch andere geeignete Ermittlungsmethoden zu bestimmen, auch um erhöhte Expositionen infolge eines unvorhersehbaren Ereignisses oder eines Unfalls schnell erkennen zu können,</w:t>
      </w:r>
    </w:p>
    <w:p>
      <w:pPr>
        <w:ind w:left="420"/>
      </w:pPr>
      <w:r>
        <w:t xml:space="preserve">2. die Arbeitsbereiche abzugrenzen, in denen Beschäftigte gegenüber diesen Gefahrstoffen exponiert werden oder exponiert werden können, und die erforderlichen Sicherheitszeichen einschließlich der Verbotszeichen „Zutritt für Unbefugte verboten“ und „Rauchen verboten“ anzubringen; dabei richtet sich die Auswahl der Sicherheitskennzeichnung nach Anhang II Nummer 3.1 der Richtlinie 92/58/EWG des Rates vom 24. Juni 1992 über Mindestvorschriften für die Sicherheits- und/oder Gesundheitsschutzkennzeichnung am Arbeitsplatz (Neunte Einzelrichtlinie im Sinne von Artikel 16 Absatz 1 der Richtlinie 89/391/EWG) (ABl. L 245 vom 26.8.1992, S. 23), die zuletzt durch die Verordnung (EU) 2019/1243 (ABl. L 198 vom 25.7.2017, S. 241) geändert worden ist,</w:t>
      </w:r>
    </w:p>
    <w:p>
      <w:pPr>
        <w:ind w:left="420"/>
      </w:pPr>
      <w:r>
        <w:t xml:space="preserve">3. sicherzustellen, dass die nach Nummer 2 gekennzeichneten Arbeitsbereiche nur den Beschäftigten zugänglich sind, die sie zur Ausübung ihrer Arbeit oder zur Durchführung bestimmter Aufgaben betreten müssen,</w:t>
      </w:r>
    </w:p>
    <w:p>
      <w:pPr>
        <w:ind w:left="420"/>
      </w:pPr>
      <w:r>
        <w:t xml:space="preserve">4. sicherzustellen, dass die Beschäftigten nach Nummer 3 fachkundig oder entsprechend tätigkeitsbezogen unterwiesen sind,</w:t>
      </w:r>
    </w:p>
    <w:p>
      <w:pPr>
        <w:ind w:left="420"/>
      </w:pPr>
      <w:r>
        <w:t xml:space="preserve">5. sicherzustellen, dass die in einem nach Nummer 2 gekennzeichneten Arbeitsbereich abgesaugte Luft nicht in den Arbeitsbereich zurückgeführt wird.</w:t>
      </w:r>
    </w:p>
    <w:p>
      <w:r>
        <w:t xml:space="preserve">Satz 1 Nummer 2 und 4 gilt nicht für Tätigkeiten, für die nach § 20 Absatz 4 ein Arbeitsplatzgrenzwert bekannt gegeben wurde, wenn dieser Wert eingehalten wird. Satz 1 Nummer 5 gilt nicht, wenn die abgesaugte Luft unter Berücksichtigung der nach § 20 Absatz 4 bekannt gegebenen Regeln und Erkenntnisse sowie unter Anwendung von behördlich oder von den Trägern der gesetzlichen Unfallversicherung anerkannten Verfahren oder Geräten ausreichend von solchen Gefahrstoffen gereinigt ist und die Luft dabei so geführt oder gereinigt wird, dass die Gefahrstoffe nicht in die Atemluft von Beschäftigten in anderen Arbeitsbereichen gelangen.</w:t>
      </w:r>
    </w:p>
    <w:p>
      <w:r>
        <w:t xml:space="preserve">(3) Kann der Arbeitsplatzgrenzwert oder der Grenzwert nach § 7 Absatz 8 Satz 1 Nummer 2 nicht eingehalten werden oder liegen Tätigkeiten im Bereich mittleren Risikos vor oder ist bei Gefahrstoffen ohne Arbeitsplatzgrenzwert, Akzeptanzkonzentration oder Grenzwert nach § 7 Absatz 8 Satz 1 Nummer 2 die Exposition der Beschäftigten wesentlich erhöht, so hat der Arbeitgeber</w:t>
      </w:r>
    </w:p>
    <w:p>
      <w:pPr>
        <w:ind w:left="420"/>
      </w:pPr>
      <w:r>
        <w:t xml:space="preserve">1. die Expositionsdauer der Beschäftigten so weit wie möglich zu verkürzen und</w:t>
      </w:r>
    </w:p>
    <w:p>
      <w:pPr>
        <w:ind w:left="420"/>
      </w:pPr>
      <w:r>
        <w:t xml:space="preserve">2. den Beschäftigten geeigneten Atemschutz zur Verfügung zu stellen.</w:t>
      </w:r>
    </w:p>
    <w:p>
      <w:r>
        <w:t xml:space="preserve">Der Arbeitgeber hat bei der Festlegung dieser Maßnahmen die Beschäftigten oder deren Vertretung in geeigneter Form zu beteiligen.</w:t>
      </w:r>
    </w:p>
    <w:p>
      <w:r>
        <w:t xml:space="preserve">(4) Der Arbeitgeber hat im Rahmen der Gefährdungsbeurteilung nach § 6 festzulegen, bei welchen Tätigkeiten Beschäftigte persönliche Schutzausrüstung tragen müssen. Dies ist insbesondere der Fall</w:t>
      </w:r>
    </w:p>
    <w:p>
      <w:pPr>
        <w:ind w:left="420"/>
      </w:pPr>
      <w:r>
        <w:t xml:space="preserve">1. bei Überschreitung des Arbeitsplatzgrenzwerts oder bei Tätigkeiten im Bereich hohen Risikos,</w:t>
      </w:r>
    </w:p>
    <w:p>
      <w:pPr>
        <w:ind w:left="420"/>
      </w:pPr>
      <w:r>
        <w:t xml:space="preserve">2. bei einer wesentlich erhöhten Exposition gegenüber Gefahrstoffen ohne Arbeitsplatzgrenzwert oder Toleranzkonzentration oder</w:t>
      </w:r>
    </w:p>
    <w:p>
      <w:pPr>
        <w:ind w:left="420"/>
      </w:pPr>
      <w:r>
        <w:t xml:space="preserve">3. bei Tätigkeiten im Bereich mittleren Risikos beim Auftreten von Expositionsspitzen.</w:t>
      </w:r>
    </w:p>
    <w:p>
      <w:r>
        <w:t xml:space="preserve">(5) Kann bei Tätigkeiten mit krebserzeugenden oder keimzellmutagenen Gefahrstoffen der Kategorie 1A oder 1B trotz Ausschöpfung der technischen Schutzmaßnahmen der Arbeitsplatzgrenzwert nicht eingehalten werden oder werden Tätigkeiten im Bereich mittleren Risikos ausgeübt, hat der Arbeitgeber unverzüglich einen Maßnahmenplan zu erstellen. In dem Maßnahmenplan ist darzulegen, wie das Ziel erreicht werden soll, den Arbeitsplatzgrenzwert einzuhalten oder in den Bereich niedrigen Risikos zu gelangen. Dabei sind aufzuführen:</w:t>
      </w:r>
    </w:p>
    <w:p>
      <w:pPr>
        <w:ind w:left="420"/>
      </w:pPr>
      <w:r>
        <w:t xml:space="preserve">1. die vorgesehenen Maßnahmen,</w:t>
      </w:r>
    </w:p>
    <w:p>
      <w:pPr>
        <w:ind w:left="420"/>
      </w:pPr>
      <w:r>
        <w:t xml:space="preserve">2. die angestrebte Expositionsminderung sowie</w:t>
      </w:r>
    </w:p>
    <w:p>
      <w:pPr>
        <w:ind w:left="420"/>
      </w:pPr>
      <w:r>
        <w:t xml:space="preserve">3. der geplante Zeitrahmen.</w:t>
      </w:r>
    </w:p>
    <w:p>
      <w:r>
        <w:t xml:space="preserve">Der Maßnahmenplan ist zusammen mit der Dokumentation der Gefährdungsbeurteilung nach § 6 Absatz 8 aufzubewahren.</w:t>
      </w:r>
    </w:p>
    <w:p>
      <w:r>
        <w:t xml:space="preserve">(6) Kann auch bei Umsetzung des Maßnahmenplans nach Absatz 5 bei Tätigkeiten mit krebserzeugenden oder keimzellmutagenen Gefahrstoffen der Kategorie 1A oder 1B der Arbeitsplatzgrenzwert nicht eingehalten werden oder werden Tätigkeiten im Bereich hohen Risikos ausgeübt, hat der Arbeitgeber sicherzustellen, dass diese Tätigkeiten nur nach einer nach § 20 Absatz 4 bekannt gegebenen Regel ausgeübt werden.</w:t>
      </w:r>
    </w:p>
    <w:p>
      <w:r>
        <w:rPr>
          <w:color w:val="555555"/>
          <w:sz w:val="17"/>
        </w:rPr>
        <w:t xml:space="preserve">Zitiervorschlag: § 10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