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GefHundG (Sachsen) — Sachkunde</w:t>
      </w:r>
    </w:p>
    <w:p>
      <w:r>
        <w:rPr>
          <w:color w:val="555555"/>
          <w:sz w:val="18"/>
        </w:rPr>
        <w:t xml:space="preserve">Gesetz zum Schutz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Der Nachweis der erforderlichen Sachkunde (§ 5 Abs. 1 Nr. 2) umfasst theoretische Kenntnisse und praktische Fähigkeiten zu Haltung und Umgang mit der betreffenden Tierart. Hierzu zählen insbesondere Kenntnisse über die natürlichen Bedürfnisse und das Verhalten von Hunden und der vorausschauende und einfühlsame Umgang mit dem Individuum. Das Nähere regelt eine Rechtsverordnung des Staatsministeriums des Innern im Einvernehmen mit dem Staatsministerium für Soziales.</w:t>
      </w:r>
    </w:p>
    <w:p>
      <w:r>
        <w:rPr>
          <w:color w:val="555555"/>
          <w:sz w:val="17"/>
        </w:rPr>
        <w:t xml:space="preserve">Zitiervorschlag: § 8 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https://recht.nulegal.eu/gesetze/GefHundG/8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