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GefHundG (Sachsen) — Handelsverbot</w:t>
      </w:r>
    </w:p>
    <w:p>
      <w:r>
        <w:rPr>
          <w:color w:val="555555"/>
          <w:sz w:val="18"/>
        </w:rPr>
        <w:t xml:space="preserve">Gesetz zum Schutz der Bevölkerung vor gefährlichen Hunden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Es ist verboten, mit Hunden nach § 1 Abs. 2 zu handeln. Dieses Verbot gilt nicht für Hunde, die nach § 5 Abs. 2 innerhalb der dort genannten Frist angezeigt werden.</w:t>
      </w:r>
    </w:p>
    <w:p>
      <w:r>
        <w:rPr>
          <w:color w:val="555555"/>
          <w:sz w:val="17"/>
        </w:rPr>
        <w:t xml:space="preserve">Zitiervorschlag: § 3 GefHundG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https://recht.nulegal.eu/gesetze/GefHundG/3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