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GefHundG (Sachsen) — Zuchtverbot</w:t>
      </w:r>
    </w:p>
    <w:p>
      <w:r>
        <w:rPr>
          <w:color w:val="555555"/>
          <w:sz w:val="18"/>
        </w:rPr>
        <w:t xml:space="preserve">Gesetz zum Schutz der Bevölkerung vor gefährlichen Hunden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Es ist verboten, Hunde nach § 1 Abs. 2 für die Zucht zu verwenden.</w:t>
      </w:r>
    </w:p>
    <w:p>
      <w:r>
        <w:t xml:space="preserve">(2) Es ist verboten, durch Zuchtauslese Hunde mit gesteigerter Aggressivität zu züchten.</w:t>
      </w:r>
    </w:p>
    <w:p>
      <w:r>
        <w:rPr>
          <w:color w:val="555555"/>
          <w:sz w:val="17"/>
        </w:rPr>
        <w:t xml:space="preserve">Zitiervorschlag: § 2 GefHundG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https://recht.nulegal.eu/gesetze/GefHundG/2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