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GefHundG (Sachsen) — Bußgeldvorschrift</w:t>
      </w:r>
    </w:p>
    <w:p>
      <w:r>
        <w:rPr>
          <w:color w:val="555555"/>
          <w:sz w:val="18"/>
        </w:rPr>
        <w:t xml:space="preserve">Gesetz zum Schutz der Bevölkerung vor gefährlichen Hunden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 entgegen</w:t>
      </w:r>
    </w:p>
    <w:p>
      <w:r>
        <w:t xml:space="preserve">1. § 3 mit einem Hund nach § 1 Abs. 2 handelt, der nicht der Ausnahme nach § 3 Satz 2 unterfällt,</w:t>
      </w:r>
    </w:p>
    <w:p>
      <w:r>
        <w:t xml:space="preserve">2. § 4 einen Hund mit dem Ziel einer gesteigerten Aggressivität ausbildet,</w:t>
      </w:r>
    </w:p>
    <w:p>
      <w:r>
        <w:t xml:space="preserve">3. § 5 Abs. 1 einen gefährlichen Hund ohne Erlaubnis hält,</w:t>
      </w:r>
    </w:p>
    <w:p>
      <w:r>
        <w:t xml:space="preserve">4. § 5 Abs. 4 einen gefährlichen Hund so hält, dass Menschen, Tiere oder Sachen gefährdet werden,</w:t>
      </w:r>
    </w:p>
    <w:p>
      <w:r>
        <w:t xml:space="preserve">5. § 5 Abs. 5 nicht durch ein deutlich lesbares Warnschild auf das Halten eines gefährlichen Hundes hinweist,</w:t>
      </w:r>
    </w:p>
    <w:p>
      <w:r>
        <w:t xml:space="preserve">6. § 6 Abs. 1 einen gefährlichen Hund</w:t>
      </w:r>
    </w:p>
    <w:p>
      <w:r>
        <w:t xml:space="preserve">a)</w:t>
      </w:r>
    </w:p>
    <w:p>
      <w:r>
        <w:t xml:space="preserve">nicht an der vorgeschriebenen Leine führt oder</w:t>
      </w:r>
    </w:p>
    <w:p>
      <w:r>
        <w:t xml:space="preserve">b)</w:t>
      </w:r>
    </w:p>
    <w:p>
      <w:r>
        <w:t xml:space="preserve">nicht mit dem vorgeschriebenen Maulkorb versieht,</w:t>
      </w:r>
    </w:p>
    <w:p>
      <w:r>
        <w:t xml:space="preserve">7. § 6 Abs. 2 als Hundehalter einen gefährlichen Hund einer ungeeigneten Aufsichtsperson überlässt,</w:t>
      </w:r>
    </w:p>
    <w:p>
      <w:r>
        <w:t xml:space="preserve">8. § 6 Abs. 3 gleichzeitig mehrere gefährliche Hunde führt,</w:t>
      </w:r>
    </w:p>
    <w:p>
      <w:r>
        <w:t xml:space="preserve">9. § 6 Abs. 4 einen gefährlichen Hund auf einen Kinderspielplatz, auf eine gekennzeichnete Liegewiese oder in eine Badeanstalt mitnimmt,</w:t>
      </w:r>
    </w:p>
    <w:p>
      <w:r>
        <w:t xml:space="preserve">10. § 7 den dort geregelten Mitteilungspflichten nicht nachkommt.</w:t>
      </w:r>
    </w:p>
    <w:p>
      <w:r>
        <w:t xml:space="preserve">(2) Die Ordnungswidrigkeit kann mit einer Geldbuße bis zu 25 000 Euro geahndet werden.</w:t>
      </w:r>
    </w:p>
    <w:p>
      <w:r>
        <w:t xml:space="preserve">(3) Verwaltungsbehörde im Sinne des § 36 Abs. 1 Nr. 1 des Gesetzes über Ordnungswidrigkeiten ist die Kreispolizeibehörde (§ 1 Absatz 1 Nummer 3 des Sächsischen Polizeibehördengesetzes vom 11. Mai 2019 (SächsGVBl. S. 389), in der jeweils geltenden Fassung).</w:t>
      </w:r>
    </w:p>
    <w:p>
      <w:r>
        <w:rPr>
          <w:color w:val="555555"/>
          <w:sz w:val="17"/>
        </w:rPr>
        <w:t xml:space="preserve">Zitiervorschlag: § 12 GefHundG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https://recht.nulegal.eu/gesetze/GefHundG/12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