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GefHundG (Sachsen) — Strafvorschrift</w:t>
      </w:r>
    </w:p>
    <w:p>
      <w:r>
        <w:rPr>
          <w:color w:val="555555"/>
          <w:sz w:val="18"/>
        </w:rPr>
        <w:t xml:space="preserve">Gesetz zum Schutz der Bevölkerung vor gefährlichen Hunden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Mit Freiheitsstrafe bis zu zwei Jahren oder mit Geldstrafe wird bestraft, wer</w:t>
      </w:r>
    </w:p>
    <w:p>
      <w:r>
        <w:t xml:space="preserve">1. entgegen § 2 Hunde nach § 1 Abs. 2 für die Zucht verwendet oder durch Zuchtauslese Hunde mit gesteigerter Aggressivität züchtet,</w:t>
      </w:r>
    </w:p>
    <w:p>
      <w:r>
        <w:t xml:space="preserve">2. gefährliche Hunde auf Menschen oder Tiere hetzt.</w:t>
      </w:r>
    </w:p>
    <w:p>
      <w:r>
        <w:t xml:space="preserve">(2) In der Entscheidung kann angeordnet werden, dass der Hund eingezogen wird.</w:t>
      </w:r>
    </w:p>
    <w:p>
      <w:r>
        <w:rPr>
          <w:color w:val="555555"/>
          <w:sz w:val="17"/>
        </w:rPr>
        <w:t xml:space="preserve">Zitiervorschlag: § 11 GefHundG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https://recht.nulegal.eu/gesetze/GefHundG/11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