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GefBeitrV 1998</w:t>
      </w:r>
    </w:p>
    <w:p>
      <w:r>
        <w:rPr>
          <w:color w:val="555555"/>
          <w:sz w:val="18"/>
        </w:rPr>
        <w:t xml:space="preserve">Gefangenen-Beitragsverordnung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352 Abs. 3 des Dritten Buches Sozialgesetzbuch - Arbeitsförderung - (Artikel 1 des Gesetzes vom 24. März 1997, BGBl. I S. 594) verordnet das Bundesministerium für Arbeit und Sozialordnung:</w:t>
      </w:r>
    </w:p>
    <w:p>
      <w:r>
        <w:rPr>
          <w:color w:val="555555"/>
          <w:sz w:val="17"/>
        </w:rPr>
        <w:t xml:space="preserve">Zitiervorschlag: Eingangsformel GefBeitrV 1998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https://recht.nulegal.eu/gesetze/GefBeitrV%201998/eingangsformel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