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GedStG (Bayern)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24. Dezember 2002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