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GedStG (Bayern) — Stiftungsvermögen</w:t>
      </w:r>
    </w:p>
    <w:p>
      <w:r>
        <w:rPr>
          <w:color w:val="555555"/>
          <w:sz w:val="18"/>
        </w:rPr>
        <w:t xml:space="preserve">Gedenkstättenstiftungsgesetz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Vermögen der Stiftung besteht aus den in der Anlage 1 aufgeführten Grundstücken samt Zubehör sowie den in Anlage 2 genannten Sammlungs-, Bibliotheks- und Archivbeständen. Das Eigentum an diesen Gegenständen geht mit dem In-Kraft-Treten dieses Gesetzes auf die Stiftung über.</w:t>
      </w:r>
    </w:p>
    <w:p>
      <w:r>
        <w:t xml:space="preserve">(2) Die Stiftung kann mit Zustimmung des Staatsministeriums im Rahmen des Stiftungszwecks Zustiftungen zum Vermögen entgegennehmen.</w:t>
      </w:r>
    </w:p>
    <w:p>
      <w:r>
        <w:t xml:space="preserve">(3) Das Stiftungsvermögen ist in seinem Bestand ungeschmälert zu erhalten.</w:t>
      </w:r>
    </w:p>
    <w:p>
      <w:r>
        <w:rPr>
          <w:color w:val="555555"/>
          <w:sz w:val="17"/>
        </w:rPr>
        <w:t xml:space="preserve">Zitiervorschlag: Art 4 GedStG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https://recht.nulegal.eu/gesetze/GedStG/4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