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GedStG (Bayern) — Haushalt, Rechnungsprüfung</w:t>
      </w:r>
    </w:p>
    <w:p>
      <w:r>
        <w:rPr>
          <w:color w:val="555555"/>
          <w:sz w:val="18"/>
        </w:rPr>
        <w:t xml:space="preserve">Gedenkstättenstiftungsgesetz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Aufstellung des Haushaltsplans, für das Haushalts-, Kassen- und Rechnungswesen sowie für die Rechnungslegung der Stiftung gelten die Haushaltsordnung des Freistaates Bayern – Bayerische Haushaltsordnung – BayHO – (BayRS 630–1–F), zuletzt geändert durch § 49 des Gesetzes vom 24. April 2001 (GVBl S. 140), und die hierzu ergangenen Verwaltungsvorschriften in der jeweils gültigen Fassung.</w:t>
      </w:r>
    </w:p>
    <w:p>
      <w:r>
        <w:t xml:space="preserve">(2) Der Bayerische Oberste Rechnungshof hat ein Prüfungsrecht.</w:t>
      </w:r>
    </w:p>
    <w:p>
      <w:r>
        <w:rPr>
          <w:color w:val="555555"/>
          <w:sz w:val="17"/>
        </w:rPr>
        <w:t xml:space="preserve">Zitiervorschlag: Art 14 GedStG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https://recht.nulegal.eu/gesetze/GedStG/14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