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GedStG (Bayern) — Satzung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nähere Ausgestaltung der Stiftung wird durch eine Satzung geregelt.</w:t>
      </w:r>
    </w:p>
    <w:p>
      <w:r>
        <w:t xml:space="preserve">(2) Die Satzung sowie Satzungsänderungen werden vom Stiftungsrat mit Dreiviertelmehrheit beschlossen. Sie bedürfen der Genehmigung des Staatsministeriums.</w:t>
      </w:r>
    </w:p>
    <w:p>
      <w:r>
        <w:rPr>
          <w:color w:val="555555"/>
          <w:sz w:val="17"/>
        </w:rPr>
        <w:t xml:space="preserve">Zitiervorschlag: Art 13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