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GebrMstrV 2021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Auf Grund des § 51a Absatz 2 der Handwerksordnung in der Fassung der Bekanntmachung vom 24. September 1998 (BGBl. I S. 3074; 2006 I S. 2095),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