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GebrMstrV 2021 — Situationsaufgabe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Situationsaufgabe orientiert sich an einem Kundenauftrag und vervollständigt den Nachweis der beruflichen Handlungskompetenz für die Meisterprüfung im Gebäudereiniger-Handwerk.</w:t>
      </w:r>
    </w:p>
    <w:p>
      <w:r>
        <w:t xml:space="preserve">(2) Die Situationsaufgabe wird vom Meisterprüfungsausschuss festgelegt. Der Ausschuss wählt für die Situationsaufgabe zwei der folgenden Arbeiten aus:</w:t>
      </w:r>
    </w:p>
    <w:p>
      <w:pPr>
        <w:ind w:left="420"/>
      </w:pPr>
      <w:r>
        <w:t xml:space="preserve">1. eine nicht-textile Oberfläche aufbereiten,</w:t>
      </w:r>
    </w:p>
    <w:p>
      <w:pPr>
        <w:ind w:left="420"/>
      </w:pPr>
      <w:r>
        <w:t xml:space="preserve">2. eine textile Oberfläche aufbereiten,</w:t>
      </w:r>
    </w:p>
    <w:p>
      <w:pPr>
        <w:ind w:left="420"/>
      </w:pPr>
      <w:r>
        <w:t xml:space="preserve">3. eine Desinfektionsmaßnahme durchführen,</w:t>
      </w:r>
    </w:p>
    <w:p>
      <w:pPr>
        <w:ind w:left="420"/>
      </w:pPr>
      <w:r>
        <w:t xml:space="preserve">4. reinigen und pflegen von einem Teil oder mehreren Teilen oder der Gesamtheit</w:t>
      </w:r>
    </w:p>
    <w:p>
      <w:pPr>
        <w:ind w:left="780"/>
      </w:pPr>
      <w:r>
        <w:t xml:space="preserve">a) einer Außenanlage,</w:t>
      </w:r>
    </w:p>
    <w:p>
      <w:pPr>
        <w:ind w:left="780"/>
      </w:pPr>
      <w:r>
        <w:t xml:space="preserve">b) einer Fassade oder</w:t>
      </w:r>
    </w:p>
    <w:p>
      <w:pPr>
        <w:ind w:left="780"/>
      </w:pPr>
      <w:r>
        <w:t xml:space="preserve">c) einer Industrieanlage und</w:t>
      </w:r>
    </w:p>
    <w:p>
      <w:pPr>
        <w:ind w:left="420"/>
      </w:pPr>
      <w:r>
        <w:t xml:space="preserve">5. reinigen von einem Teil oder mehreren Teilen oder der Gesamtheit</w:t>
      </w:r>
    </w:p>
    <w:p>
      <w:pPr>
        <w:ind w:left="780"/>
      </w:pPr>
      <w:r>
        <w:t xml:space="preserve">a) eines Verkehrsmittels oder</w:t>
      </w:r>
    </w:p>
    <w:p>
      <w:pPr>
        <w:ind w:left="780"/>
      </w:pPr>
      <w:r>
        <w:t xml:space="preserve">b) einer Verkehrsleiteinrichtung.</w:t>
      </w:r>
    </w:p>
    <w:p>
      <w:r>
        <w:t xml:space="preserve">Bei der Aufgabenstellung sind Arbeiten zu wählen, die nicht Gegenstand des Meisterprüfungsprojekts waren.</w:t>
      </w:r>
    </w:p>
    <w:p>
      <w:r>
        <w:t xml:space="preserve">(3) Für die Bearbeitung der Situationsaufgabe stehen dem Prüfling vier Stunden zur Verfügung.</w:t>
      </w:r>
    </w:p>
    <w:p>
      <w:r>
        <w:t xml:space="preserve">(4) Jede der beiden Arbeiten nach Absatz 2 Satz 2 Nummer 1 bis 5 wird gesondert bewertet. Die Gesamtbewertung der Situationsaufgabe entspricht dem arithmetischen Mittel der Bewertungen der ausgeführten Arbeiten nach Absatz 2.</w:t>
      </w:r>
    </w:p>
    <w:p>
      <w:r>
        <w:rPr>
          <w:color w:val="555555"/>
          <w:sz w:val="17"/>
        </w:rPr>
        <w:t xml:space="preserve">Zitiervorschlag: § 6 GebrMstrV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https://recht.nulegal.eu/gesetze/GebrMstrV%202021/6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