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GebrMstrV 2021 — Gewichtung; Bestehen der Prüfung in Teil II</w:t>
      </w:r>
    </w:p>
    <w:p>
      <w:r>
        <w:rPr>
          <w:color w:val="555555"/>
          <w:sz w:val="18"/>
        </w:rPr>
        <w:t xml:space="preserve">Gebäudereinigermeisterverordnung</w:t>
      </w:r>
    </w:p>
    <w:p>
      <w:r>
        <w:rPr>
          <w:color w:val="555555"/>
          <w:sz w:val="18"/>
        </w:rPr>
        <w:t xml:space="preserve">Stand: 01.01.2021 (konsolidierte Textfassung, kein amtliches Inkrafttretensdatum)</w:t>
      </w:r>
    </w:p>
    <w:p>
      <w:r>
        <w:t xml:space="preserve">(1) Für das Gesamtergebnis der Prüfung in Teil II der Meisterprüfung ist das arithmetische Mittel der Bewertungen der Handlungsfelder nach den §§ 9 bis 11 zu bilden.</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12 GebrMstrV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https://recht.nulegal.eu/gesetze/GebrMstrV%202021/12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