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GebrMV</w:t>
      </w:r>
    </w:p>
    <w:p>
      <w:r>
        <w:rPr>
          <w:color w:val="555555"/>
          <w:sz w:val="18"/>
        </w:rPr>
        <w:t xml:space="preserve">Gebrauchsmusterverordnung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4 des Gebrauchsmustergesetzes in der Fassung der Bekanntmachung vom 28. August 1986 (BGBl. I S. 1455), der zuletzt durch Artikel 8 Nr. 1 Buchstabe a des Gesetzes vom 13. Dezember 2001 (BGBl. I S. 3656) geändert worden ist, in Verbindung mit Artikel 29 des Gesetzes vom 13. Dezember 2001 (BGBl. I S. 3656) sowie in Verbindung mit § 1 Abs. 2 der DPMA-Verordnung vom 1. April 2004 (BGBl. I S. 514) verordnet das Deutsche Patent- und Markenamt:</w:t>
      </w:r>
    </w:p>
    <w:p>
      <w:r>
        <w:rPr>
          <w:color w:val="555555"/>
          <w:sz w:val="17"/>
        </w:rPr>
        <w:t xml:space="preserve">Zitiervorschlag: Eingangsformel GebrMV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