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GebrMV — Anwendungsbereich</w:t>
      </w:r>
    </w:p>
    <w:p>
      <w:r>
        <w:rPr>
          <w:color w:val="555555"/>
          <w:sz w:val="18"/>
        </w:rPr>
        <w:t xml:space="preserve">Gebrauchsmusterverordnung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im Gebrauchsmustergesetz geregelten Verfahren vor dem Deutschen Patent- und Markenamt (Gebrauchsmusterangelegenheiten) gelten ergänzend zu den Bestimmungen des Gebrauchsmustergesetzes und der DPMA-Verordnung die Bestimmungen dieser Verordnung.</w:t>
      </w:r>
    </w:p>
    <w:p>
      <w:r>
        <w:t xml:space="preserve">(2) DIN-Normen, auf die in dieser Verordnung verwiesen wird, sind im Beuth-Verlag GmbH, Berlin und Köln, erschienen und beim Deutschen Patent- und Markenamt archivmäßig gesichert niedergelegt.</w:t>
      </w:r>
    </w:p>
    <w:p>
      <w:r>
        <w:rPr>
          <w:color w:val="555555"/>
          <w:sz w:val="17"/>
        </w:rPr>
        <w:t xml:space="preserve">Zitiervorschlag: § 1 GebrMV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