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GebrMG</w:t>
      </w:r>
    </w:p>
    <w:p>
      <w:r>
        <w:rPr>
          <w:color w:val="555555"/>
          <w:sz w:val="18"/>
        </w:rPr>
        <w:t xml:space="preserve">Gebrauchsmustergesetz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ein Gebrauchsmuster angemeldet, dessen Gegenstand ein Staatsgeheimnis (§ 93 des Strafgesetzbuchs) ist, so ordnet die für die Anordnung gemäß § 50 des Patentgesetzes zuständige Prüfungsstelle von Amts wegen an, daß die Offenlegung (§ 8 Abs. 5) und die Bekanntmachung im Patentblatt (§ 8 Abs. 3) unterbleiben. Die zuständige oberste Bundesbehörde ist vor der Anordnung zu hören. Sie kann den Erlaß einer Anordnung beantragen. Das Gebrauchsmuster ist in ein besonderes Register einzutragen.</w:t>
      </w:r>
    </w:p>
    <w:p>
      <w:r>
        <w:t xml:space="preserve">(2) Im übrigen sind die Vorschriften des § 31 Abs. 5, des § 50 Abs. 2 bis 4 und der §§ 51 bis 56 des Patentgesetzes entsprechend anzuwenden. Die nach Absatz 1 zuständige Prüfungsstelle ist auch für die in entsprechender Anwendung von § 50 Abs. 2 des Patentgesetzes zu treffenden Entscheidungen und für die in entsprechender Anwendung von § 50 Abs. 3 und § 53 Abs. 2 des Patentgesetzes vorzunehmenden Handlungen zuständig.</w:t>
      </w:r>
    </w:p>
    <w:p>
      <w:r>
        <w:rPr>
          <w:color w:val="555555"/>
          <w:sz w:val="17"/>
        </w:rPr>
        <w:t xml:space="preserve">Zitiervorschlag: § 9 GebrMG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