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GebrMG</w:t>
      </w:r>
    </w:p>
    <w:p>
      <w:r>
        <w:rPr>
          <w:color w:val="555555"/>
          <w:sz w:val="18"/>
        </w:rPr>
        <w:t xml:space="preserve">Gebrauchsmustergesetz</w:t>
      </w:r>
    </w:p>
    <w:p>
      <w:r>
        <w:rPr>
          <w:color w:val="555555"/>
          <w:sz w:val="18"/>
        </w:rPr>
        <w:t xml:space="preserve">Stand: 14.10.2021 (konsolidierte Textfassung, kein amtliches Inkrafttretensdatum)</w:t>
      </w:r>
    </w:p>
    <w:p>
      <w:r>
        <w:t xml:space="preserve">(1) Dem Anmelder steht innerhalb einer Frist von zwölf Monaten nach dem Anmeldetag einer beim Deutschen Patent- und Markenamt eingereichten früheren Patent- oder Gebrauchsmusteranmeldung für die Anmeldung derselben Erfindung zum Gebrauchsmuster ein Prioritätsrecht zu, es sei denn, daß für die frühere Anmeldung schon eine inländische oder ausländische Priorität in Anspruch genommen worden ist. § 40 Abs. 2 bis 4, Abs. 5 Satz 1, Abs. 6 des Patentgesetzes ist entsprechend anzuwenden, § 40 Abs. 5 Satz 1 mit der Maßgabe, daß eine frühere Patentanmeldung nicht als zurückgenommen gilt.</w:t>
      </w:r>
    </w:p>
    <w:p>
      <w:r>
        <w:t xml:space="preserve">(2) Die Vorschriften des Patentgesetzes über die ausländische Priorität (§ 41) sind entsprechend anzuwenden.</w:t>
      </w:r>
    </w:p>
    <w:p>
      <w:r>
        <w:rPr>
          <w:color w:val="555555"/>
          <w:sz w:val="17"/>
        </w:rPr>
        <w:t xml:space="preserve">Zitiervorschlag: § 6 GebrMG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https://recht.nulegal.eu/gesetze/GebrMG/6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