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Erfindungen, für die der Schutz als Gebrauchsmuster verlangt wird, sind beim Deutschen Patent- und Markenamt anzumelden. Für jede Erfindung ist eine besondere Anmeldung erforderlich.</w:t>
      </w:r>
    </w:p>
    <w:p>
      <w:r>
        <w:t xml:space="preserve">(2) Die Anmeldung kann auch über ein Patentinformationszentrum eingereicht werden, wenn diese Stelle durch Bekanntmachung des Bundesministeriums der Justiz und für Verbraucherschutz im Bundesgesetzblatt dazu bestimmt ist, Gebrauchsmusteranmeldungen entgegenzunehmen. Eine Anmeldung, die ein Staatsgeheimnis (§ 93 Strafgesetzbuch) enthalten kann, darf bei einem Patentinformationszentrum nicht eingereicht werden.</w:t>
      </w:r>
    </w:p>
    <w:p>
      <w:r>
        <w:t xml:space="preserve">(3) Die Anmeldung muß enthalten:</w:t>
      </w:r>
    </w:p>
    <w:p>
      <w:pPr>
        <w:ind w:left="420"/>
      </w:pPr>
      <w:r>
        <w:t xml:space="preserve">1. den Namen des Anmelders;</w:t>
      </w:r>
    </w:p>
    <w:p>
      <w:pPr>
        <w:ind w:left="420"/>
      </w:pPr>
      <w:r>
        <w:t xml:space="preserve">2. einen Antrag auf Eintragung des Gebrauchsmusters, in dem der Gegenstand des Gebrauchsmusters kurz und genau bezeichnet ist;</w:t>
      </w:r>
    </w:p>
    <w:p>
      <w:pPr>
        <w:ind w:left="420"/>
      </w:pPr>
      <w:r>
        <w:t xml:space="preserve">3. einen oder mehrere Schutzansprüche, in denen angegeben ist, was als schutzfähig unter Schutz gestellt werden soll;</w:t>
      </w:r>
    </w:p>
    <w:p>
      <w:pPr>
        <w:ind w:left="420"/>
      </w:pPr>
      <w:r>
        <w:t xml:space="preserve">4. eine Beschreibung des Gegenstandes des Gebrauchsmusters;</w:t>
      </w:r>
    </w:p>
    <w:p>
      <w:pPr>
        <w:ind w:left="420"/>
      </w:pPr>
      <w:r>
        <w:t xml:space="preserve">5. die Zeichnungen, auf die sich die Schutzansprüche oder die Beschreibung beziehen.</w:t>
      </w:r>
    </w:p>
    <w:p>
      <w:r>
        <w:t xml:space="preserve">(4) Das Bundesministerium der Justiz und für Verbraucherschutz wird ermächtigt, durch Rechtsverordnung Bestimmungen über die Form und die sonstigen Erfordernisse der Anmeldung zu erlassen. Es kann diese Ermächtigung durch Rechtsverordnung auf das Deutsche Patent- und Markenamt übertragen.</w:t>
      </w:r>
    </w:p>
    <w:p>
      <w:r>
        <w:t xml:space="preserve">(5) Bis zur Verfügung über die Eintragung des Gebrauchsmusters sind Änderungen der Anmeldung zulässig, soweit sie den Gegenstand der Anmeldung nicht erweitern. Aus Änderungen, die den Gegenstand der Anmeldung erweitern, können Rechte nicht hergeleitet werden.</w:t>
      </w:r>
    </w:p>
    <w:p>
      <w:r>
        <w:t xml:space="preserve">(6) Der Anmelder kann die Anmeldung jederzeit teilen. Die Teilung ist schriftlich zu erklären. Für jede Teilanmeldung bleiben der Zeitpunkt der ursprünglichen Anmeldung und eine dafür in Anspruch genommene Priorität erhalten. Für die abgetrennte Anmeldung sind für die Zeit bis zur Teilung die gleichen Gebühren zu entrichten, die für die ursprüngliche Anmeldung zu entrichten waren.</w:t>
      </w:r>
    </w:p>
    <w:p>
      <w:r>
        <w:t xml:space="preserve">(7) Das Bundesministerium der Justiz und für Verbraucherschutz wird ermächtigt, durch Rechtsverordnung Bestimmungen über die Hinterlegung, den Zugang einschließlich des zum Zugang berechtigten Personenkreises und die erneute Hinterlegung von biologischem Material zu erlassen, sofern die Erfindung die Verwendung biologischen Materials beinhaltet oder sie solches Material betrifft, das der Öffentlichkeit nicht zugänglich ist und das in der Anmeldung nicht so beschrieben werden kann, daß ein Fachmann die Erfindung danach ausführen kann (Absatz 3). Es kann diese Ermächtigung durch Rechtsverordnung auf das Deutsche Patent- und Markenamt übertragen.</w:t>
      </w:r>
    </w:p>
    <w:p>
      <w:r>
        <w:rPr>
          <w:color w:val="555555"/>
          <w:sz w:val="17"/>
        </w:rPr>
        <w:t xml:space="preserve">Zitiervorschlag: § 4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