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Das Bundesministerium der Justiz und für Verbraucherschutz wird ermächtigt, durch Rechtsverordnung, die nicht der Zustimmung des Bundesrates bedarf,</w:t>
      </w:r>
    </w:p>
    <w:p>
      <w:pPr>
        <w:ind w:left="420"/>
      </w:pPr>
      <w:r>
        <w:t xml:space="preserve">1. die Einrichtung und den Geschäftsgang des Deutschen Patent- und Markenamts sowie die Form des Verfahrens in Gebrauchsmusterangelegenheiten zu regeln, soweit nicht durch Gesetz Bestimmungen darüber getroffen sind,</w:t>
      </w:r>
    </w:p>
    <w:p>
      <w:pPr>
        <w:ind w:left="420"/>
      </w:pPr>
      <w:r>
        <w:t xml:space="preserve">2. für Fristen in Gebrauchsmusterangelegenheiten eine für alle Dienststellen des Deutschen Patent- und Markenamts geltende Regelung über die zu berücksichtigenden gesetzlichen Feiertage zu treffen.</w:t>
      </w:r>
    </w:p>
    <w:p>
      <w:r>
        <w:t xml:space="preserve">(2) Das Bundesministerium der Justiz und für Verbraucherschutz kann die Ermächtigung nach Absatz 1 durch Rechtsverordnung ohne Zustimmung des Bundesrates ganz oder teilweise auf das Deutsche Patent- und Markenamt übertragen.</w:t>
      </w:r>
    </w:p>
    <w:p>
      <w:r>
        <w:rPr>
          <w:color w:val="555555"/>
          <w:sz w:val="17"/>
        </w:rPr>
        <w:t xml:space="preserve">Zitiervorschlag: § 29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