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26a GebrMG</w:t>
      </w:r>
    </w:p>
    <w:p>
      <w:r>
        <w:rPr>
          <w:color w:val="555555"/>
          <w:sz w:val="18"/>
        </w:rPr>
        <w:t xml:space="preserve">Gebrauchsmustergesetz</w:t>
      </w:r>
    </w:p>
    <w:p>
      <w:r>
        <w:rPr>
          <w:color w:val="555555"/>
          <w:sz w:val="18"/>
        </w:rPr>
        <w:t xml:space="preserve">Stand: 14.10.2021 (konsolidierte Textfassung, kein amtliches Inkrafttretensdatum)</w:t>
      </w:r>
    </w:p>
    <w:p>
      <w:r>
        <w:t xml:space="preserve">In Gebrauchsmusterstreitsachen mit Ausnahme von selbstständigen Beweisverfahren sowie in Zwangslizenzverfahren gemäß § 20 in Verbindung mit § 81 Absatz 1 Satz 1 des Patentgesetzes sind die §§ 16 bis 20 des Gesetzes zum Schutz von Geschäftsgeheimnissen vom 18. April 2019 (BGBl. I S. 466) entsprechend anzuwenden. Als streitgegenständliche Informationen im Sinne des § 16 Absatz 1 des Gesetzes zum Schutz von Geschäftsgeheimnissen gelten sämtliche von Kläger und Beklagtem in das Verfahren eingeführten Informationen.</w:t>
      </w:r>
    </w:p>
    <w:p>
      <w:r>
        <w:rPr>
          <w:color w:val="555555"/>
          <w:sz w:val="17"/>
        </w:rPr>
        <w:t xml:space="preserve">Zitiervorschlag: § 26a GebrMG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https://recht.nulegal.eu/gesetze/GebrMG/26a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