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25b GebrMG</w:t>
      </w:r>
    </w:p>
    <w:p>
      <w:r>
        <w:rPr>
          <w:color w:val="555555"/>
          <w:sz w:val="18"/>
        </w:rPr>
        <w:t xml:space="preserve">Gebrauchsmustergesetz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das Verfahren nach der Verordnung (EU) Nr. 608/2013 gilt § 25a Absatz 5 und 6 entsprechend, soweit die Verordnung keine Bestimmungen enthält, die dem entgegenstehen.</w:t>
      </w:r>
    </w:p>
    <w:p>
      <w:r>
        <w:rPr>
          <w:color w:val="555555"/>
          <w:sz w:val="17"/>
        </w:rPr>
        <w:t xml:space="preserve">Zitiervorschlag: § 25b GebrMG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https://recht.nulegal.eu/gesetze/GebrMG/25b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