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Wer entgegen den §§ 11 bis 14 ein Gebrauchsmuster benutzt, kann von dem Verletzten bei Wiederholungsgefahr auf Unterlassung in Anspruch genommen werden. Der Anspruch besteht auch dann, wenn eine Zuwiderhandlung erstmalig droht. Der Anspruch ist ausgeschlossen, soweit die Inanspruchnahme aufgrund der besonderen Umstände des Einzelfalls und der Gebote von Treu und Glauben für den Verletzer oder Dritte zu einer unverhältnismäßigen, durch das Ausschließlichkeitsrecht nicht gerechtfertigten Härte führen würde. In diesem Fall ist dem Verletzten ein angemessener Ausgleich in Geld zu gewähren. Der Schadensersatzanspruch nach Absatz 2 bleibt hiervon unberührt.</w:t>
      </w:r>
    </w:p>
    <w:p>
      <w:r>
        <w:t xml:space="preserve">(2) Wer die Handlung vorsätzlich oder fahrlässig vornimmt, ist dem Verletzten zum Ersatz des daraus entstehenden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Nutzung der Erfindung eingeholt hätte.</w:t>
      </w:r>
    </w:p>
    <w:p>
      <w:r>
        <w:rPr>
          <w:color w:val="555555"/>
          <w:sz w:val="17"/>
        </w:rPr>
        <w:t xml:space="preserve">Zitiervorschlag: § 24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