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Die Schutzdauer eines eingetragenen Gebrauchsmusters beginnt mit dem Anmeldetag und endet zehn Jahre nach Ablauf des Monats, in den der Anmeldetag fällt.</w:t>
      </w:r>
    </w:p>
    <w:p>
      <w:r>
        <w:t xml:space="preserve">(2) Die Aufrechterhaltung des Schutzes wird durch Zahlung einer Aufrechterhaltungsgebühr für das vierte bis sechste, siebte und achte sowie für das neunte und zehnte Jahr, gerechnet vom Anmeldetag an, bewirkt. Die Aufrechterhaltung wird im Register vermerkt.</w:t>
      </w:r>
    </w:p>
    <w:p>
      <w:r>
        <w:t xml:space="preserve">(3) Das Gebrauchsmuster erlischt, wenn</w:t>
      </w:r>
    </w:p>
    <w:p>
      <w:pPr>
        <w:ind w:left="420"/>
      </w:pPr>
      <w:r>
        <w:t xml:space="preserve">1. der als Inhaber Eingetragene durch schriftliche Erklärung an das Deutsche Patent- und Markenamt auf das Gebrauchsmuster verzichtet oder</w:t>
      </w:r>
    </w:p>
    <w:p>
      <w:pPr>
        <w:ind w:left="420"/>
      </w:pPr>
      <w:r>
        <w:t xml:space="preserve">2. die Aufrechterhaltungsgebühr nicht rechtzeitig (§ 7 Abs. 1, § 13 Abs. 3 oder § 14 Abs. 2 und 5 des Patentkostengesetzes) gezahlt wird.</w:t>
      </w:r>
    </w:p>
    <w:p>
      <w:r>
        <w:rPr>
          <w:color w:val="555555"/>
          <w:sz w:val="17"/>
        </w:rPr>
        <w:t xml:space="preserve">Zitiervorschlag: § 23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