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GebrMG</w:t>
      </w:r>
    </w:p>
    <w:p>
      <w:r>
        <w:rPr>
          <w:color w:val="555555"/>
          <w:sz w:val="18"/>
        </w:rPr>
        <w:t xml:space="preserve">Gebrauchsmustergesetz</w:t>
      </w:r>
    </w:p>
    <w:p>
      <w:r>
        <w:rPr>
          <w:color w:val="555555"/>
          <w:sz w:val="18"/>
        </w:rPr>
        <w:t xml:space="preserve">Stand: 01.08.2022 (konsolidierte Textfassung, kein amtliches Inkrafttretensdatum)</w:t>
      </w:r>
    </w:p>
    <w:p>
      <w:r>
        <w:t xml:space="preserve">(1) Die Vorschriften des Patentgesetzes über die Erstattung von Gutachten (§ 29 Abs. 1 und 2), über die Nutzung von urheberrechtlich geschützten Werken und sonstigen Schutzgegenständen (§ 29a), über die Wiedereinsetzung in den vorigen Stand (§ 123), über die Weiterbehandlung der Anmeldung (§ 123a), über die Wahrheitspflicht im Verfahren (§ 124), über die elektronische Verfahrensführung (§ 125a), über die Amtssprache (§ 126), über Zustellungen (§ 127), über die Rechtshilfe der Gerichte (§ 128), über die Entschädigung von Zeugen und die Vergütung von Sachverständigen (§ 128a) und über den Rechtsschutz bei überlangen Gerichtsverfahren (§ 128b) sind auch für Gebrauchsmustersachen anzuwenden.</w:t>
      </w:r>
    </w:p>
    <w:p>
      <w:r>
        <w:t xml:space="preserve">(2) Die Vorschriften des Patentgesetzes über die Bewilligung von Verfahrenskostenhilfe (§§ 129 bis 138) sind in Gebrauchsmustersachen entsprechend anzuwenden, § 135 Abs. 3 mit der Maßgabe, daß der nach § 133 beigeordneten Vertretung ein Beschwerderecht zusteht.</w:t>
      </w:r>
    </w:p>
    <w:p>
      <w:r>
        <w:rPr>
          <w:color w:val="555555"/>
          <w:sz w:val="17"/>
        </w:rPr>
        <w:t xml:space="preserve">Zitiervorschlag: § 21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