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Gebrauchsmuster werden nicht geschützt:</w:t>
      </w:r>
    </w:p>
    <w:p>
      <w:pPr>
        <w:ind w:left="420"/>
      </w:pPr>
      <w:r>
        <w:t xml:space="preserve">1. Erfindungen, deren Verwertung gegen die öffentliche Ordnung oder die guten Sitten verstoßen würde; ein solcher Verstoß kann nicht allein aus der Tatsache hergeleitet werden, daß die Verwertung der Erfindung durch Gesetz oder Verwaltungsvorschrift verboten ist.</w:t>
      </w:r>
    </w:p>
    <w:p>
      <w:pPr>
        <w:ind w:left="420"/>
      </w:pPr>
      <w:r>
        <w:t xml:space="preserve">2. Pflanzensorten oder Tierarten;</w:t>
      </w:r>
    </w:p>
    <w:p>
      <w:pPr>
        <w:ind w:left="420"/>
      </w:pPr>
      <w:r>
        <w:t xml:space="preserve">3. Verfahren.</w:t>
      </w:r>
    </w:p>
    <w:p>
      <w:r>
        <w:rPr>
          <w:color w:val="555555"/>
          <w:sz w:val="17"/>
        </w:rPr>
        <w:t xml:space="preserve">Zitiervorschlag: § 2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